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CENTAR ZA ZAŠTITU ODOJČADI, DECE I OMLADINE</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100286755</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ZVEČANSKA 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BEOGRAD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06.07.2021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2980/1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o dodeli Ugovora o javnoj nabavci ponuđaču koji je podneo ispravnu i ekonomski najpovoljniju ponudu.</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CENTAR ZA ZAŠTITU ODOJČADI, DECE I OMLADINE</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2980</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Održavanje računara</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F02-0021731</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50300000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Održavanje računara</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2.381.667,00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 xml:space="preserve">Elektronik partner doo Beograd </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103605787</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 xml:space="preserve">DR IVANA RIBARA, 146 </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(Novi Beograd)</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11070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1.020.000,00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1.224.000,00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Održavanje računara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2980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2980, 21.06.2021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2.381.667,00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50300000-Usluge popravke, održavanja i srodne usluge za personalne računare, kancelarijsku opremu, telekomunikacije i audiovizuelnu opremu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 xml:space="preserve">Prethodno raspisana javna nabavka u okviru koje je bila predmetna nabavka označena kao partija broj 1 je obustavljena  iz razloga što je Centar odlučio da video nadzor izostavi iz iste, te da video nadzor obuhvati kroz novi bezbednosni sistem. Stoga Centar ponovo raspisuje predmetnu nabavku iz koje je u odnosu na prošlu izvršena navedena korekcija u pogledu video nadzora.  </w:t>
                    <w:br/>
                    <w:t>Nabavka se sprovodi radi održavanja računara i računarske opreme u Centru.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Predmetna nabavka nije oblikovana u više partija, jer za tim nije bilo potrebe, već je nabavka ponovljena za partiju broj 1, u kojoj je prethodno postupak obustavljen iz obrazloženih razloga.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F02-0021731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22.06.2021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02.07.2021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Radulović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Stefan Jevtić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Borisav Radosavljević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Milutin Pavlović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Jovanka Jakovljević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Održavanje računara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02.07.2021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02.07.2021 12:01:30</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Elektronik partner doo Beograd , DR IVANA RIBARA, 146 ,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172/2021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2.7.2021. 10:55:57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Elektronik partner doo Beograd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1020000.00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1224000.00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dana ispostavljene fakture za prethodni mesec.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Elektronik partner doo Beograd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1020000.00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1224000.00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dana ispostavljene fakture za prethodni mesec.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02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Elektronik partner doo Beograd </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1.020.000,00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1.224.000,00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ispravnu, prihvatljivu ponudu i jedini je podneo ponudu za predmetnu javnu nabavku. Naručilac je uputio Ponuđaču Zahtev za dostavljanje dokumentacije za kvalitativni izbor najpovoljnijeg Ponuđača, te je Ponuđač postupio u potpunosti u skladu sa istim, nakon čega su se stekli uslovi za izbor Ponuđača.</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Elektronik partner doo Beograd </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1.020.000,00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podneo ispravnu, prihvatljivu ponudu i jedini je podneo ponudu za predmetnu javnu nabavku. Naručilac je uputio Ponuđaču Zahtev za dostavljanje dokumentacije za kvalitativni izbor najpovoljnijeg Ponuđača, te je Ponuđač postupio u potpunosti u skladu sa istim, nakon čega su se stekli uslovi za izbor Ponuđača.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31" w:name="_Hlk32839505_0"/>
      <w:bookmarkStart w:id="32" w:name="1_0"/>
      <w:bookmarkEnd w:id="32"/>
      <w:r>
        <w:rPr>
          <w:rFonts w:ascii="Calibri" w:eastAsia="Calibri" w:hAnsi="Calibri" w:cs="Calibri"/>
        </w:rPr>
        <w:t>Ponuđač je podneo ispravnu, prihvatljivu ponudu i jedini je podneo ponudu za predmetnu javnu nabavku. Naručilac je uputio Ponuđaču Zahtev za dostavljanje dokumentacije za kvalitativni izbor najpovoljnijeg Ponuđača, te je Ponuđač postupio u potpunosti u skladu sa istim, nakon čega su se stekli uslovi za izbor Ponuđača.</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