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5" w:rsidRDefault="005C66F5">
      <w:pPr>
        <w:rPr>
          <w:lang w:val="sr-Latn-CS"/>
        </w:rPr>
      </w:pPr>
    </w:p>
    <w:p w:rsidR="008829DD" w:rsidRDefault="008829DD">
      <w:pPr>
        <w:rPr>
          <w:lang w:val="sr-Latn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A570F7">
        <w:rPr>
          <w:rFonts w:ascii="Times New Roman" w:hAnsi="Times New Roman"/>
          <w:bCs/>
          <w:sz w:val="24"/>
          <w:szCs w:val="24"/>
          <w:lang w:val="sr-Cyrl-CS"/>
        </w:rPr>
        <w:t xml:space="preserve">Предмет јавне набавке је набавка услуга текућег </w:t>
      </w:r>
      <w:r>
        <w:rPr>
          <w:rFonts w:ascii="Times New Roman" w:hAnsi="Times New Roman"/>
          <w:b/>
          <w:sz w:val="24"/>
          <w:szCs w:val="24"/>
          <w:lang w:val="sr-Cyrl-CS"/>
        </w:rPr>
        <w:t>одржавање и поправке возила</w:t>
      </w:r>
      <w:r w:rsidRPr="00A570F7">
        <w:rPr>
          <w:rFonts w:ascii="Times New Roman" w:hAnsi="Times New Roman"/>
          <w:b/>
          <w:sz w:val="24"/>
          <w:szCs w:val="24"/>
          <w:lang w:val="sr-Cyrl-CS"/>
        </w:rPr>
        <w:t xml:space="preserve"> из  возног парка </w:t>
      </w:r>
      <w:r w:rsidRPr="008F0A90">
        <w:rPr>
          <w:rFonts w:ascii="Times New Roman" w:hAnsi="Times New Roman"/>
          <w:sz w:val="24"/>
          <w:szCs w:val="24"/>
          <w:lang w:val="sr-Cyrl-CS"/>
        </w:rPr>
        <w:t xml:space="preserve">Центра </w:t>
      </w:r>
      <w:proofErr w:type="spellStart"/>
      <w:r w:rsidRPr="008F0A90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570F7">
        <w:rPr>
          <w:rFonts w:ascii="Times New Roman" w:hAnsi="Times New Roman"/>
          <w:sz w:val="24"/>
          <w:szCs w:val="24"/>
          <w:lang w:val="sr-Cyrl-CS"/>
        </w:rPr>
        <w:t>заштиту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570F7">
        <w:rPr>
          <w:rFonts w:ascii="Times New Roman" w:hAnsi="Times New Roman"/>
          <w:sz w:val="24"/>
          <w:szCs w:val="24"/>
          <w:lang w:val="sr-Cyrl-CS"/>
        </w:rPr>
        <w:t>одојчади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A570F7">
        <w:rPr>
          <w:rFonts w:ascii="Times New Roman" w:hAnsi="Times New Roman"/>
          <w:sz w:val="24"/>
          <w:szCs w:val="24"/>
          <w:lang w:val="sr-Cyrl-CS"/>
        </w:rPr>
        <w:t>деце и омладине, што подразумева вршење следећих услуга:</w:t>
      </w:r>
    </w:p>
    <w:p w:rsidR="008829DD" w:rsidRP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Аутомеханичарских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Аутоелетричарских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Лимарско-</w:t>
      </w:r>
      <w:r>
        <w:rPr>
          <w:rFonts w:ascii="Times New Roman" w:hAnsi="Times New Roman"/>
          <w:sz w:val="24"/>
          <w:szCs w:val="24"/>
          <w:lang w:val="sr-Cyrl-CS"/>
        </w:rPr>
        <w:t>лакирерских;</w:t>
      </w: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Дијагностике мотора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Сервисирање климе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829DD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Контролу техничке исправности и оверавања путних налога за возила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829DD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Регистрација и технички преглед возила;</w:t>
      </w: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Вулканизерске услуге.</w:t>
      </w:r>
    </w:p>
    <w:p w:rsidR="008829DD" w:rsidRPr="008829DD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Pr="00A570F7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На следећи начин:</w:t>
      </w:r>
    </w:p>
    <w:p w:rsidR="008829DD" w:rsidRPr="00A570F7" w:rsidRDefault="008829DD" w:rsidP="008829D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Сервисирање и одржавање возила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обухвата редовно серв</w:t>
      </w:r>
      <w:r>
        <w:rPr>
          <w:rFonts w:ascii="Times New Roman" w:hAnsi="Times New Roman"/>
          <w:sz w:val="24"/>
          <w:szCs w:val="24"/>
          <w:lang w:val="sr-Cyrl-CS"/>
        </w:rPr>
        <w:t>исирање воз</w:t>
      </w:r>
      <w:r w:rsidRPr="00A570F7">
        <w:rPr>
          <w:rFonts w:ascii="Times New Roman" w:hAnsi="Times New Roman"/>
          <w:sz w:val="24"/>
          <w:szCs w:val="24"/>
          <w:lang w:val="sr-Cyrl-CS"/>
        </w:rPr>
        <w:t>ила, ванредно сервисирање возила и преглед возила са детекцијом кварова;</w:t>
      </w:r>
    </w:p>
    <w:p w:rsidR="008829DD" w:rsidRPr="00A570F7" w:rsidRDefault="008829DD" w:rsidP="008829DD">
      <w:pPr>
        <w:pStyle w:val="Bodytext61"/>
        <w:shd w:val="clear" w:color="auto" w:fill="auto"/>
        <w:spacing w:line="240" w:lineRule="auto"/>
        <w:ind w:left="720"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570F7">
        <w:rPr>
          <w:rFonts w:ascii="Times New Roman" w:hAnsi="Times New Roman" w:cs="Times New Roman"/>
          <w:sz w:val="24"/>
          <w:szCs w:val="24"/>
          <w:lang w:val="sr-Cyrl-CS"/>
        </w:rPr>
        <w:t>Ре</w:t>
      </w: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довно сервисирање возил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а обухвата пружање сервисних услуга према препоруци произвођача</w:t>
      </w:r>
      <w:r w:rsidRPr="00A570F7">
        <w:rPr>
          <w:rStyle w:val="Bodytext6248"/>
          <w:rFonts w:ascii="Times New Roman" w:hAnsi="Times New Roman" w:cs="Times New Roman"/>
          <w:sz w:val="24"/>
          <w:szCs w:val="24"/>
          <w:lang w:val="sr-Cyrl-CS" w:eastAsia="sr-Cyrl-CS"/>
        </w:rPr>
        <w:t xml:space="preserve"> воз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ила у сервисној књижици на одређени број пређених километара, односно на одређени</w:t>
      </w:r>
      <w:r>
        <w:rPr>
          <w:rStyle w:val="Bodytext6256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>
        <w:rPr>
          <w:rStyle w:val="Bodytext6248"/>
          <w:rFonts w:ascii="Times New Roman" w:hAnsi="Times New Roman" w:cs="Times New Roman"/>
          <w:sz w:val="24"/>
          <w:szCs w:val="24"/>
          <w:lang w:val="sr-Cyrl-CS" w:eastAsia="sr-Cyrl-CS"/>
        </w:rPr>
        <w:t>вре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менски период, а према налогу Наручиоца;</w:t>
      </w:r>
    </w:p>
    <w:p w:rsidR="008829DD" w:rsidRPr="00A570F7" w:rsidRDefault="008829DD" w:rsidP="008829DD">
      <w:pPr>
        <w:pStyle w:val="Bodytext61"/>
        <w:shd w:val="clear" w:color="auto" w:fill="auto"/>
        <w:spacing w:line="240" w:lineRule="auto"/>
        <w:ind w:left="720"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Bodytext6256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Поправка возила обу</w:t>
      </w: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хвата отклањање уочених кварова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- недостатака на возилу и његово стављањередовну функцију, а према налогу Наручиоца;</w:t>
      </w:r>
    </w:p>
    <w:p w:rsidR="008829DD" w:rsidRPr="00A570F7" w:rsidRDefault="008829DD" w:rsidP="008829DD">
      <w:pPr>
        <w:pStyle w:val="Bodytext61"/>
        <w:shd w:val="clear" w:color="auto" w:fill="auto"/>
        <w:spacing w:line="240" w:lineRule="auto"/>
        <w:ind w:left="720"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Bodytext6256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Преглед возила са детекцијом кварова се врши по налогу Наручиоца;</w:t>
      </w:r>
    </w:p>
    <w:p w:rsidR="008829DD" w:rsidRPr="00A570F7" w:rsidRDefault="008829DD" w:rsidP="008829D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Bodytext6256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Уградња</w:t>
      </w:r>
      <w:r>
        <w:rPr>
          <w:rStyle w:val="Bodytext6256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адекватних резервних делова подразумева потребну замену делова у сваком конкретном случају</w:t>
      </w: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(</w:t>
      </w:r>
      <w:r w:rsidRPr="00A570F7">
        <w:rPr>
          <w:rFonts w:ascii="Times New Roman" w:hAnsi="Times New Roman"/>
          <w:b/>
          <w:sz w:val="24"/>
          <w:szCs w:val="24"/>
          <w:u w:val="single"/>
          <w:lang w:val="sr-Cyrl-CS"/>
        </w:rPr>
        <w:t>Напомена: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За уградњу резервних делова </w:t>
      </w:r>
      <w:r>
        <w:rPr>
          <w:rFonts w:ascii="Times New Roman" w:hAnsi="Times New Roman"/>
          <w:sz w:val="24"/>
          <w:szCs w:val="24"/>
          <w:lang w:val="sr-Cyrl-CS"/>
        </w:rPr>
        <w:t>понуђач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ће пре уградње понудити Наручиоцу опције, па након избора од стране Наручиоца, понуђач ће  уградити резервне делове у возила). </w:t>
      </w:r>
    </w:p>
    <w:p w:rsidR="008829DD" w:rsidRDefault="008829DD" w:rsidP="008829DD">
      <w:pPr>
        <w:pStyle w:val="Bodytext61"/>
        <w:shd w:val="clear" w:color="auto" w:fill="auto"/>
        <w:spacing w:line="216" w:lineRule="exact"/>
        <w:ind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8829DD" w:rsidRPr="00A570F7" w:rsidRDefault="008829DD" w:rsidP="008829DD">
      <w:pPr>
        <w:pStyle w:val="Bodytext61"/>
        <w:shd w:val="clear" w:color="auto" w:fill="auto"/>
        <w:spacing w:line="216" w:lineRule="exact"/>
        <w:ind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Понуђач мора имати и теренску службу и излазак аутомеханичара на терен због отклањања кварова на месту квара возила.</w:t>
      </w:r>
    </w:p>
    <w:p w:rsidR="008829DD" w:rsidRPr="00A570F7" w:rsidRDefault="008829DD" w:rsidP="008829DD">
      <w:pPr>
        <w:pStyle w:val="Bodytext61"/>
        <w:shd w:val="clear" w:color="auto" w:fill="auto"/>
        <w:spacing w:line="216" w:lineRule="exact"/>
        <w:ind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8829DD" w:rsidRPr="00A570F7" w:rsidRDefault="008829DD" w:rsidP="008829DD">
      <w:pPr>
        <w:pStyle w:val="Bodytext61"/>
        <w:shd w:val="clear" w:color="auto" w:fill="auto"/>
        <w:spacing w:line="216" w:lineRule="exact"/>
        <w:ind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Обим захтеваних услуга може бити и проширен у случају да се за тим укаже потреба, али само уз писмену сагласност и налог за рад, дат од стране Наручиоца.</w:t>
      </w:r>
    </w:p>
    <w:p w:rsidR="008829DD" w:rsidRPr="00A570F7" w:rsidRDefault="008829DD" w:rsidP="008829DD">
      <w:pPr>
        <w:pStyle w:val="Bodytext61"/>
        <w:shd w:val="clear" w:color="auto" w:fill="auto"/>
        <w:spacing w:line="216" w:lineRule="exact"/>
        <w:ind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Набавка услуге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одржавања и поправке </w:t>
      </w:r>
      <w:r w:rsidRPr="00D41F95">
        <w:rPr>
          <w:rFonts w:ascii="Times New Roman" w:hAnsi="Times New Roman"/>
          <w:sz w:val="24"/>
          <w:szCs w:val="24"/>
          <w:lang w:val="sr-Cyrl-CS"/>
        </w:rPr>
        <w:t>из  возног парка</w:t>
      </w:r>
      <w:r w:rsidR="00AC48D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611E0">
        <w:rPr>
          <w:rFonts w:ascii="Times New Roman" w:hAnsi="Times New Roman"/>
          <w:sz w:val="24"/>
          <w:szCs w:val="24"/>
          <w:lang w:val="sr-Cyrl-CS"/>
        </w:rPr>
        <w:t>Центра</w:t>
      </w:r>
      <w:r w:rsidR="00AC48D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611E0">
        <w:rPr>
          <w:rFonts w:ascii="Times New Roman" w:hAnsi="Times New Roman"/>
          <w:sz w:val="24"/>
          <w:szCs w:val="24"/>
          <w:lang w:val="sr-Cyrl-CS"/>
        </w:rPr>
        <w:t>за</w:t>
      </w:r>
      <w:r w:rsidR="00AC48D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611E0">
        <w:rPr>
          <w:rFonts w:ascii="Times New Roman" w:hAnsi="Times New Roman"/>
          <w:sz w:val="24"/>
          <w:szCs w:val="24"/>
          <w:lang w:val="sr-Cyrl-CS"/>
        </w:rPr>
        <w:t>заштиту</w:t>
      </w:r>
      <w:r w:rsidR="00AC48D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611E0">
        <w:rPr>
          <w:rFonts w:ascii="Times New Roman" w:hAnsi="Times New Roman"/>
          <w:sz w:val="24"/>
          <w:szCs w:val="24"/>
          <w:lang w:val="sr-Cyrl-CS"/>
        </w:rPr>
        <w:t xml:space="preserve">одојчади, деце и омладине </w:t>
      </w:r>
      <w:r w:rsidRPr="00A570F7">
        <w:rPr>
          <w:rFonts w:ascii="Times New Roman" w:hAnsi="Times New Roman"/>
          <w:sz w:val="24"/>
          <w:szCs w:val="24"/>
          <w:lang w:val="sr-Cyrl-CS"/>
        </w:rPr>
        <w:t>је сукцесивна, у</w:t>
      </w:r>
      <w:r>
        <w:rPr>
          <w:rFonts w:ascii="Times New Roman" w:hAnsi="Times New Roman"/>
          <w:sz w:val="24"/>
          <w:szCs w:val="24"/>
          <w:lang w:val="sr-Cyrl-CS"/>
        </w:rPr>
        <w:t xml:space="preserve"> складу са потребама Наручиоца и подразаме</w:t>
      </w:r>
      <w:r w:rsidRPr="00A570F7">
        <w:rPr>
          <w:rFonts w:ascii="Times New Roman" w:hAnsi="Times New Roman"/>
          <w:sz w:val="24"/>
          <w:szCs w:val="24"/>
          <w:lang w:val="sr-Cyrl-CS"/>
        </w:rPr>
        <w:t>ва вршење услуга за следећа возила возног парка:</w:t>
      </w: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P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Pr="003E389B" w:rsidRDefault="008829DD" w:rsidP="008829DD">
      <w:pPr>
        <w:spacing w:after="0" w:line="240" w:lineRule="auto"/>
        <w:rPr>
          <w:rFonts w:ascii="Times New Roman" w:hAnsi="Times New Roman"/>
          <w:b/>
        </w:rPr>
      </w:pPr>
      <w:r w:rsidRPr="00AC0397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proofErr w:type="spellStart"/>
      <w:r>
        <w:rPr>
          <w:rFonts w:ascii="Times New Roman" w:hAnsi="Times New Roman"/>
          <w:b/>
        </w:rPr>
        <w:t>Шкода</w:t>
      </w:r>
      <w:proofErr w:type="spellEnd"/>
      <w:r>
        <w:rPr>
          <w:rFonts w:ascii="Times New Roman" w:hAnsi="Times New Roman"/>
          <w:b/>
          <w:lang w:val="ru-RU"/>
        </w:rPr>
        <w:t xml:space="preserve"> фабиа</w:t>
      </w:r>
      <w:r>
        <w:rPr>
          <w:rFonts w:ascii="Times New Roman" w:hAnsi="Times New Roman"/>
          <w:b/>
          <w:lang w:val="sr-Latn-CS"/>
        </w:rPr>
        <w:t xml:space="preserve"> (путничко</w:t>
      </w:r>
      <w:r w:rsidRPr="005712E9">
        <w:rPr>
          <w:rFonts w:ascii="Times New Roman" w:hAnsi="Times New Roman"/>
          <w:b/>
          <w:lang w:val="sr-Latn-CS"/>
        </w:rPr>
        <w:t>)</w:t>
      </w:r>
      <w:r w:rsidRPr="005712E9">
        <w:rPr>
          <w:rFonts w:ascii="Times New Roman" w:hAnsi="Times New Roman"/>
          <w:b/>
          <w:lang w:val="sr-Cyrl-CS"/>
        </w:rPr>
        <w:t>,</w:t>
      </w:r>
      <w:r>
        <w:rPr>
          <w:rFonts w:ascii="Times New Roman" w:hAnsi="Times New Roman"/>
          <w:b/>
          <w:lang w:val="sr-Cyrl-CS"/>
        </w:rPr>
        <w:t xml:space="preserve"> г</w:t>
      </w:r>
      <w:r>
        <w:rPr>
          <w:rFonts w:ascii="Times New Roman" w:hAnsi="Times New Roman"/>
          <w:b/>
          <w:lang w:val="sr-Latn-CS"/>
        </w:rPr>
        <w:t xml:space="preserve">одина производње 2013 </w:t>
      </w:r>
      <w:r w:rsidRPr="005712E9">
        <w:rPr>
          <w:rFonts w:ascii="Times New Roman" w:hAnsi="Times New Roman"/>
          <w:b/>
          <w:lang w:val="sr-Cyrl-CS"/>
        </w:rPr>
        <w:t>,</w:t>
      </w:r>
    </w:p>
    <w:p w:rsidR="008829DD" w:rsidRPr="006F26B7" w:rsidRDefault="008829DD" w:rsidP="008829DD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>Снага мотора 44</w:t>
      </w:r>
      <w:r w:rsidRPr="005712E9">
        <w:rPr>
          <w:rFonts w:ascii="Times New Roman" w:hAnsi="Times New Roman"/>
          <w:b/>
          <w:lang w:val="sr-Latn-CS"/>
        </w:rPr>
        <w:t xml:space="preserve"> КС</w:t>
      </w:r>
      <w:r w:rsidRPr="005712E9">
        <w:rPr>
          <w:rFonts w:ascii="Times New Roman" w:hAnsi="Times New Roman"/>
          <w:b/>
          <w:lang w:val="sr-Cyrl-CS"/>
        </w:rPr>
        <w:t>,</w:t>
      </w:r>
      <w:r>
        <w:rPr>
          <w:rFonts w:ascii="Times New Roman" w:hAnsi="Times New Roman"/>
          <w:b/>
          <w:lang w:val="sr-Latn-CS"/>
        </w:rPr>
        <w:t xml:space="preserve"> Запремина мотора  1198</w:t>
      </w:r>
      <w:r>
        <w:rPr>
          <w:rFonts w:ascii="Times New Roman" w:hAnsi="Times New Roman"/>
          <w:b/>
        </w:rPr>
        <w:t xml:space="preserve">, 2 </w:t>
      </w:r>
      <w:proofErr w:type="spellStart"/>
      <w:r>
        <w:rPr>
          <w:rFonts w:ascii="Times New Roman" w:hAnsi="Times New Roman"/>
          <w:b/>
        </w:rPr>
        <w:t>ком</w:t>
      </w:r>
      <w:proofErr w:type="spellEnd"/>
      <w:r w:rsidRPr="00AC0397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8829DD" w:rsidRPr="00AC0397" w:rsidRDefault="008829DD" w:rsidP="008829D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C0397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b/>
        </w:rPr>
        <w:t>DACIA</w:t>
      </w:r>
      <w:r>
        <w:rPr>
          <w:rFonts w:ascii="Times New Roman" w:hAnsi="Times New Roman"/>
          <w:b/>
          <w:lang w:val="sr-Latn-CS"/>
        </w:rPr>
        <w:t>(путничко</w:t>
      </w:r>
      <w:r w:rsidRPr="005712E9">
        <w:rPr>
          <w:rFonts w:ascii="Times New Roman" w:hAnsi="Times New Roman"/>
          <w:b/>
          <w:lang w:val="sr-Latn-CS"/>
        </w:rPr>
        <w:t>)</w:t>
      </w:r>
      <w:r w:rsidRPr="005712E9">
        <w:rPr>
          <w:rFonts w:ascii="Times New Roman" w:hAnsi="Times New Roman"/>
          <w:b/>
          <w:lang w:val="sr-Cyrl-CS"/>
        </w:rPr>
        <w:t>,</w:t>
      </w:r>
      <w:r>
        <w:rPr>
          <w:rFonts w:ascii="Times New Roman" w:hAnsi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/>
          <w:b/>
        </w:rPr>
        <w:t>нови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Сандеро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амбиансе</w:t>
      </w:r>
      <w:proofErr w:type="spellEnd"/>
      <w:r>
        <w:rPr>
          <w:rFonts w:ascii="Times New Roman" w:hAnsi="Times New Roman"/>
          <w:b/>
        </w:rPr>
        <w:t xml:space="preserve"> 1.5 ДЦИ</w:t>
      </w:r>
      <w:r w:rsidRPr="005712E9">
        <w:rPr>
          <w:rFonts w:ascii="Times New Roman" w:hAnsi="Times New Roman"/>
          <w:b/>
          <w:lang w:val="sr-Cyrl-CS"/>
        </w:rPr>
        <w:t>,</w:t>
      </w:r>
      <w:r>
        <w:rPr>
          <w:rFonts w:ascii="Times New Roman" w:hAnsi="Times New Roman"/>
          <w:b/>
          <w:lang w:val="sr-Cyrl-CS"/>
        </w:rPr>
        <w:t xml:space="preserve"> г</w:t>
      </w:r>
      <w:r>
        <w:rPr>
          <w:rFonts w:ascii="Times New Roman" w:hAnsi="Times New Roman"/>
          <w:b/>
          <w:lang w:val="sr-Latn-CS"/>
        </w:rPr>
        <w:t>одина производње 20</w:t>
      </w:r>
      <w:r>
        <w:rPr>
          <w:rFonts w:ascii="Times New Roman" w:hAnsi="Times New Roman"/>
          <w:b/>
        </w:rPr>
        <w:t>15</w:t>
      </w:r>
      <w:r w:rsidRPr="005712E9">
        <w:rPr>
          <w:rFonts w:ascii="Times New Roman" w:hAnsi="Times New Roman"/>
          <w:b/>
          <w:lang w:val="sr-Cyrl-CS"/>
        </w:rPr>
        <w:t>,</w:t>
      </w:r>
      <w:r>
        <w:rPr>
          <w:rFonts w:ascii="Times New Roman" w:hAnsi="Times New Roman"/>
          <w:b/>
          <w:lang w:val="ru-RU"/>
        </w:rPr>
        <w:t>Снага мотора 55, Запремина мотора 1461, 2 ком.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;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AC0397">
        <w:rPr>
          <w:rFonts w:ascii="Times New Roman" w:hAnsi="Times New Roman"/>
          <w:b/>
          <w:sz w:val="24"/>
          <w:szCs w:val="24"/>
          <w:lang w:val="sr-Latn-CS"/>
        </w:rPr>
        <w:t>Peugeot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407 (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путничко возило),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Тип 407  СТ конфорт 2</w:t>
      </w:r>
      <w:r>
        <w:rPr>
          <w:rFonts w:ascii="Times New Roman" w:hAnsi="Times New Roman"/>
          <w:b/>
          <w:sz w:val="24"/>
          <w:szCs w:val="24"/>
        </w:rPr>
        <w:t>.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0 Е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одина производње 2005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Снага мотора 100 КС,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Запремина мотора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 1997 цм3;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Комби (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Путничко возило),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Марка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 Mercedes benz,Тип Vito L 108 CDI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одина производње 2002,Снага мотора 60 КС,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Запремина мотора 2148 цм3;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Комби (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Путничко возило),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Марка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 Опел, Тип Вива</w:t>
      </w:r>
      <w:r>
        <w:rPr>
          <w:rFonts w:ascii="Times New Roman" w:hAnsi="Times New Roman"/>
          <w:b/>
          <w:sz w:val="24"/>
          <w:szCs w:val="24"/>
          <w:lang w:val="ru-RU"/>
        </w:rPr>
        <w:t>ро Комби, г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одина 2012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C0397">
        <w:rPr>
          <w:rFonts w:ascii="Times New Roman" w:hAnsi="Times New Roman"/>
          <w:b/>
          <w:sz w:val="24"/>
          <w:szCs w:val="24"/>
          <w:lang w:val="ru-RU"/>
        </w:rPr>
        <w:t>Снага мотора 84 KW,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Запремина мотора </w:t>
      </w:r>
      <w:r w:rsidRPr="00AC0397">
        <w:rPr>
          <w:rFonts w:ascii="Times New Roman" w:hAnsi="Times New Roman"/>
          <w:b/>
          <w:sz w:val="24"/>
          <w:szCs w:val="24"/>
          <w:lang w:val="sr-Latn-CS"/>
        </w:rPr>
        <w:t>1995 CCM</w:t>
      </w:r>
      <w:r w:rsidRPr="00AC0397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8829DD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0397">
        <w:rPr>
          <w:rFonts w:ascii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Фиат Пунто (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Путничко возило)</w:t>
      </w:r>
      <w:r w:rsidRPr="00AC0397"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>Марка ФиатТип Пунто Ево 1</w:t>
      </w:r>
      <w:r>
        <w:rPr>
          <w:rFonts w:ascii="Times New Roman" w:hAnsi="Times New Roman"/>
          <w:b/>
          <w:sz w:val="24"/>
          <w:szCs w:val="24"/>
        </w:rPr>
        <w:t>.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, година 2010,Снага мотора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 48KW,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Запремина мотора </w:t>
      </w:r>
      <w:r w:rsidRPr="00AC0397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AC0397">
        <w:rPr>
          <w:rFonts w:ascii="Times New Roman" w:hAnsi="Times New Roman"/>
          <w:b/>
          <w:sz w:val="24"/>
          <w:szCs w:val="24"/>
          <w:lang w:val="sr-Cyrl-CS"/>
        </w:rPr>
        <w:t>242</w:t>
      </w:r>
      <w:r w:rsidRPr="00AC0397">
        <w:rPr>
          <w:rFonts w:ascii="Times New Roman" w:hAnsi="Times New Roman"/>
          <w:b/>
          <w:sz w:val="24"/>
          <w:szCs w:val="24"/>
          <w:lang w:val="sr-Latn-CS"/>
        </w:rPr>
        <w:t xml:space="preserve"> CCM</w:t>
      </w:r>
      <w:r w:rsidRPr="00AC0397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8829DD" w:rsidRPr="008829DD" w:rsidRDefault="008829DD" w:rsidP="008829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0397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A46F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Citroen </w:t>
      </w:r>
      <w:proofErr w:type="spellStart"/>
      <w:r>
        <w:rPr>
          <w:rFonts w:ascii="Times New Roman" w:hAnsi="Times New Roman"/>
          <w:b/>
          <w:sz w:val="24"/>
          <w:szCs w:val="24"/>
        </w:rPr>
        <w:t>yampi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Теретно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возило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/>
          <w:sz w:val="24"/>
          <w:szCs w:val="24"/>
        </w:rPr>
        <w:t>Марка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Citroen, </w:t>
      </w:r>
      <w:proofErr w:type="spellStart"/>
      <w:r>
        <w:rPr>
          <w:rFonts w:ascii="Times New Roman" w:hAnsi="Times New Roman"/>
          <w:b/>
          <w:sz w:val="24"/>
          <w:szCs w:val="24"/>
        </w:rPr>
        <w:t>Тип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yampi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година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/>
          <w:b/>
          <w:sz w:val="24"/>
          <w:szCs w:val="24"/>
        </w:rPr>
        <w:t>Снага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мотора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70</w:t>
      </w:r>
      <w:r w:rsidRPr="00D302DC">
        <w:rPr>
          <w:rFonts w:ascii="Times New Roman" w:hAnsi="Times New Roman"/>
          <w:b/>
          <w:sz w:val="24"/>
          <w:szCs w:val="24"/>
          <w:lang w:val="ru-RU"/>
        </w:rPr>
        <w:t xml:space="preserve"> KW</w:t>
      </w:r>
      <w:r>
        <w:rPr>
          <w:rFonts w:ascii="Times New Roman" w:hAnsi="Times New Roman"/>
          <w:b/>
          <w:sz w:val="24"/>
          <w:szCs w:val="24"/>
          <w:lang w:val="ru-RU"/>
        </w:rPr>
        <w:t>, Запремина мотора 1560</w:t>
      </w:r>
      <w:r w:rsidRPr="00D302DC">
        <w:rPr>
          <w:rFonts w:ascii="Times New Roman" w:hAnsi="Times New Roman"/>
          <w:b/>
          <w:sz w:val="24"/>
          <w:szCs w:val="24"/>
          <w:lang w:val="sr-Latn-CS"/>
        </w:rPr>
        <w:t xml:space="preserve"> CCM</w:t>
      </w:r>
    </w:p>
    <w:p w:rsidR="008829DD" w:rsidRPr="00A570F7" w:rsidRDefault="008829DD" w:rsidP="008829DD">
      <w:pPr>
        <w:spacing w:after="0"/>
        <w:jc w:val="both"/>
        <w:rPr>
          <w:rFonts w:ascii="Times New Roman" w:hAnsi="Times New Roman"/>
          <w:cap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10"/>
      </w:tblGrid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Место сервисирања</w:t>
            </w:r>
          </w:p>
        </w:tc>
        <w:tc>
          <w:tcPr>
            <w:tcW w:w="6610" w:type="dxa"/>
          </w:tcPr>
          <w:p w:rsidR="008829DD" w:rsidRPr="00A570F7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Београду-</w:t>
            </w:r>
            <w:r w:rsidR="006772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У сервису понуђача,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259">
              <w:rPr>
                <w:rFonts w:ascii="Times New Roman" w:hAnsi="Times New Roman"/>
                <w:sz w:val="24"/>
                <w:szCs w:val="24"/>
                <w:lang w:val="sr-Cyrl-CS"/>
              </w:rPr>
              <w:t>по потреби П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онуђач је дужан да омогући излазак сервисера на терен у случају квара на возилу и организује транспорт неисправног возила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Начин пружања услуге</w:t>
            </w:r>
          </w:p>
        </w:tc>
        <w:tc>
          <w:tcPr>
            <w:tcW w:w="6610" w:type="dxa"/>
          </w:tcPr>
          <w:p w:rsidR="008829DD" w:rsidRPr="00A570F7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Сукцесивно, по потреби Наручиоца, на писмени или усмени захтев овлашћеног лица Наручиоца.</w:t>
            </w:r>
            <w:r w:rsidR="002E203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Понуђач је дужан да по извршеном прегледу возила и утврђивању квара обавести Наручиоца о трошковима отклањања квара (поправке) за свако возило појединачно.</w:t>
            </w:r>
            <w:r w:rsidR="00AC48D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Након прибављене писмене или усмене сагласн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  овлашћеног лица Наручиоца</w:t>
            </w:r>
            <w:r w:rsidR="00677259">
              <w:rPr>
                <w:rFonts w:ascii="Times New Roman" w:hAnsi="Times New Roman"/>
                <w:sz w:val="24"/>
                <w:szCs w:val="24"/>
                <w:lang w:val="sr-Cyrl-CS"/>
              </w:rPr>
              <w:t>, П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онуђа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 ће приступити отклањању квара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2E203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Уколико цена услуге коју је потребно извршити прелази</w:t>
            </w:r>
            <w:r w:rsidR="006772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50% тржишне вредности уређаја П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онуђач је дужан да о томе благовремено обавести Наручиоца и да обавезно прибави писмену сагласност за извршење предметне услуге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Време пружања услуге</w:t>
            </w:r>
          </w:p>
        </w:tc>
        <w:tc>
          <w:tcPr>
            <w:tcW w:w="6610" w:type="dxa"/>
          </w:tcPr>
          <w:p w:rsidR="008829DD" w:rsidRPr="00A611E0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5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Понедељак-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65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субо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редовно радно време (08:00-18</w:t>
            </w:r>
            <w:r w:rsidRPr="00B7565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:00)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Рок за отклањање проблема</w:t>
            </w:r>
          </w:p>
        </w:tc>
        <w:tc>
          <w:tcPr>
            <w:tcW w:w="6610" w:type="dxa"/>
          </w:tcPr>
          <w:p w:rsidR="008829DD" w:rsidRPr="00A570F7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Одмах по пријему захтева Наручиоца, а у изузетним ситуацијама н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ајвише седам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дана од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пријема позива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Сервисне интервенције</w:t>
            </w:r>
          </w:p>
        </w:tc>
        <w:tc>
          <w:tcPr>
            <w:tcW w:w="6610" w:type="dxa"/>
          </w:tcPr>
          <w:p w:rsidR="008829DD" w:rsidRPr="00A570F7" w:rsidRDefault="002E2037" w:rsidP="002E2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Према ценовнику из О</w:t>
            </w:r>
            <w:r w:rsidR="008829DD"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брасца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структуре понуђене цене </w:t>
            </w:r>
            <w:r w:rsidR="008829DD"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који ће бити саставни део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Понуде и Уговора</w:t>
            </w:r>
            <w:r w:rsidR="008829D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Уградња делова</w:t>
            </w:r>
          </w:p>
        </w:tc>
        <w:tc>
          <w:tcPr>
            <w:tcW w:w="6610" w:type="dxa"/>
          </w:tcPr>
          <w:p w:rsidR="008829DD" w:rsidRPr="00A611E0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Понуђач се обавезује да уграђује </w:t>
            </w:r>
            <w:r w:rsidRPr="00B7565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адекватне делове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произвођача ауто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опреме која је предмет набавке.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Гарантни рок за сервисне интервенције и резервне делове за аутомобиле</w:t>
            </w:r>
          </w:p>
        </w:tc>
        <w:tc>
          <w:tcPr>
            <w:tcW w:w="6610" w:type="dxa"/>
          </w:tcPr>
          <w:p w:rsidR="008829DD" w:rsidRPr="00A570F7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Понуђач је дужан да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гаранцију за извршене услуге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, а за уграђене резервне делове гаранција је произвођачка.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Период произвођачке гаранције понуђач уписује на радни налог након извршене уградње.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Уколико у току датог гарантног периода дође до квара уграђног дела понуђач је дужан 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исти поправи или замени новим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, без права на новчану награду.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Начин спровођења контроле и обезбеђивања гаранције квалитета</w:t>
            </w:r>
          </w:p>
        </w:tc>
        <w:tc>
          <w:tcPr>
            <w:tcW w:w="6610" w:type="dxa"/>
          </w:tcPr>
          <w:p w:rsidR="008829DD" w:rsidRPr="00A570F7" w:rsidRDefault="00677259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Наручилац и П</w:t>
            </w:r>
            <w:r w:rsidR="008829DD"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онуђач ће констатовати извршење услуге 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основу радног налога сервисера П</w:t>
            </w:r>
            <w:r w:rsidR="008829DD"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онуђача који мора бити оверени потп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исан од стране овлашћених лица П</w:t>
            </w:r>
            <w:r w:rsidR="008829DD"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онуђача и Наручиоца.</w:t>
            </w:r>
            <w:r w:rsidR="0088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9DD"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Овлашћено лице Наручиоца је дужно да одмах, а најкасније два дан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по извршеној услузи обавести П</w:t>
            </w:r>
            <w:r w:rsidR="008829DD"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онуђача о уоченом недостатку и извршењу услуге.</w:t>
            </w:r>
            <w:r w:rsidR="0088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9DD"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случају евентуално утврђених </w:t>
            </w:r>
            <w:r w:rsidR="008829DD">
              <w:rPr>
                <w:rFonts w:ascii="Times New Roman" w:hAnsi="Times New Roman"/>
                <w:sz w:val="24"/>
                <w:szCs w:val="24"/>
                <w:lang w:val="sr-Cyrl-CS"/>
              </w:rPr>
              <w:t>недостатака у квалитету и обиму извршених услуга</w:t>
            </w:r>
            <w:r w:rsidR="008829DD"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8829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као и функционалних недостатака</w:t>
            </w:r>
            <w:r w:rsidR="008829DD"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, понуђач мора исте отклонити најкасније у року од 1 дана</w:t>
            </w:r>
            <w:r w:rsidR="008829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(24 часа)</w:t>
            </w:r>
            <w:r w:rsidR="008829DD"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, од дана пријема рекламације.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Важење уговора</w:t>
            </w:r>
          </w:p>
        </w:tc>
        <w:tc>
          <w:tcPr>
            <w:tcW w:w="6610" w:type="dxa"/>
          </w:tcPr>
          <w:p w:rsidR="008829DD" w:rsidRPr="00C8420B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Уговор се закључује на период од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године рачунајући од дана потписивања уговора, са могућношћу анексирања уговора до завршетка јавних набавки за предметну услугу за 202</w:t>
            </w:r>
            <w:r w:rsidR="00677259"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годину.</w:t>
            </w:r>
          </w:p>
        </w:tc>
      </w:tr>
    </w:tbl>
    <w:p w:rsidR="008829DD" w:rsidRPr="008829DD" w:rsidRDefault="008829DD" w:rsidP="008829DD">
      <w:pPr>
        <w:rPr>
          <w:rFonts w:ascii="Times New Roman" w:hAnsi="Times New Roman"/>
          <w:sz w:val="24"/>
          <w:szCs w:val="24"/>
          <w:lang w:val="sr-Latn-CS"/>
        </w:rPr>
      </w:pPr>
    </w:p>
    <w:p w:rsidR="008829DD" w:rsidRPr="00A570F7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 xml:space="preserve">Важна напомена: </w:t>
      </w:r>
    </w:p>
    <w:p w:rsidR="008829DD" w:rsidRPr="00A570F7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За уградњу резервних делова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Понуђач 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ће пре уградње понудити Наручиоцу опције, па након избора ос стране наручиоца уградити резервне делове у возила. </w:t>
      </w: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570F7">
        <w:rPr>
          <w:rFonts w:ascii="Times New Roman" w:hAnsi="Times New Roman"/>
          <w:sz w:val="24"/>
          <w:szCs w:val="24"/>
          <w:lang w:val="sr-Cyrl-CS"/>
        </w:rPr>
        <w:t>За услуге и резервне делове који нису наведени у</w:t>
      </w:r>
      <w:r>
        <w:rPr>
          <w:rFonts w:ascii="Times New Roman" w:hAnsi="Times New Roman"/>
          <w:sz w:val="24"/>
          <w:szCs w:val="24"/>
          <w:lang w:val="sr-Cyrl-CS"/>
        </w:rPr>
        <w:t xml:space="preserve"> овој спецификацији</w:t>
      </w:r>
      <w:r w:rsidR="00677259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табелама)</w:t>
      </w:r>
      <w:r w:rsidR="00677259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а за којима се Наручиоцу укаже потре</w:t>
      </w:r>
      <w:r>
        <w:rPr>
          <w:rFonts w:ascii="Times New Roman" w:hAnsi="Times New Roman"/>
          <w:sz w:val="24"/>
          <w:szCs w:val="24"/>
          <w:lang w:val="sr-Cyrl-CS"/>
        </w:rPr>
        <w:t>ба у периоду важења</w:t>
      </w:r>
      <w:r w:rsidR="00677259">
        <w:rPr>
          <w:rFonts w:ascii="Times New Roman" w:hAnsi="Times New Roman"/>
          <w:sz w:val="24"/>
          <w:szCs w:val="24"/>
          <w:lang w:val="sr-Cyrl-CS"/>
        </w:rPr>
        <w:t xml:space="preserve"> Уговора, изабрани П</w:t>
      </w:r>
      <w:r w:rsidRPr="00A570F7">
        <w:rPr>
          <w:rFonts w:ascii="Times New Roman" w:hAnsi="Times New Roman"/>
          <w:sz w:val="24"/>
          <w:szCs w:val="24"/>
          <w:lang w:val="sr-Cyrl-CS"/>
        </w:rPr>
        <w:t>он</w:t>
      </w:r>
      <w:r>
        <w:rPr>
          <w:rFonts w:ascii="Times New Roman" w:hAnsi="Times New Roman"/>
          <w:sz w:val="24"/>
          <w:szCs w:val="24"/>
          <w:lang w:val="sr-Cyrl-CS"/>
        </w:rPr>
        <w:t>уђач ће према захтеву Наручиоца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извршити/уг</w:t>
      </w:r>
      <w:r>
        <w:rPr>
          <w:rFonts w:ascii="Times New Roman" w:hAnsi="Times New Roman"/>
          <w:sz w:val="24"/>
          <w:szCs w:val="24"/>
          <w:lang w:val="sr-Cyrl-CS"/>
        </w:rPr>
        <w:t>радити исте и испоставити фактур</w:t>
      </w:r>
      <w:r w:rsidRPr="00A570F7">
        <w:rPr>
          <w:rFonts w:ascii="Times New Roman" w:hAnsi="Times New Roman"/>
          <w:sz w:val="24"/>
          <w:szCs w:val="24"/>
          <w:lang w:val="sr-Cyrl-CS"/>
        </w:rPr>
        <w:t>у прем</w:t>
      </w:r>
      <w:r>
        <w:rPr>
          <w:rFonts w:ascii="Times New Roman" w:hAnsi="Times New Roman"/>
          <w:sz w:val="24"/>
          <w:szCs w:val="24"/>
          <w:lang w:val="sr-Cyrl-CS"/>
        </w:rPr>
        <w:t>а важећем ценовнику на тај дан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Pr="00A570F7">
        <w:rPr>
          <w:rFonts w:ascii="Times New Roman" w:hAnsi="Times New Roman"/>
          <w:sz w:val="24"/>
          <w:szCs w:val="24"/>
          <w:lang w:val="sr-Cyrl-CS"/>
        </w:rPr>
        <w:t>испостављања фактуре).</w:t>
      </w:r>
    </w:p>
    <w:p w:rsidR="008829DD" w:rsidRPr="00B6196E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530"/>
        <w:gridCol w:w="20"/>
        <w:gridCol w:w="770"/>
        <w:gridCol w:w="1760"/>
        <w:gridCol w:w="3604"/>
      </w:tblGrid>
      <w:tr w:rsidR="008829DD" w:rsidRPr="00D302DC" w:rsidTr="008A309C">
        <w:trPr>
          <w:gridAfter w:val="3"/>
          <w:wAfter w:w="6134" w:type="dxa"/>
          <w:trHeight w:val="98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Р.Б</w:t>
            </w: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ОПИС</w:t>
            </w:r>
          </w:p>
        </w:tc>
      </w:tr>
      <w:tr w:rsidR="008829DD" w:rsidRPr="00D302DC" w:rsidTr="008A309C">
        <w:trPr>
          <w:trHeight w:val="422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5"/>
          </w:tcPr>
          <w:p w:rsidR="008829DD" w:rsidRPr="00D302DC" w:rsidRDefault="008829DD" w:rsidP="008A30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302DC">
              <w:rPr>
                <w:rFonts w:ascii="Times New Roman" w:hAnsi="Times New Roman"/>
                <w:b/>
              </w:rPr>
              <w:t>Шкода</w:t>
            </w:r>
            <w:proofErr w:type="spellEnd"/>
            <w:r w:rsidRPr="00D302DC">
              <w:rPr>
                <w:rFonts w:ascii="Times New Roman" w:hAnsi="Times New Roman"/>
                <w:b/>
                <w:lang w:val="ru-RU"/>
              </w:rPr>
              <w:t xml:space="preserve"> фабиа 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  <w:r w:rsidRPr="00D302DC">
              <w:rPr>
                <w:rFonts w:ascii="Times New Roman" w:hAnsi="Times New Roman"/>
                <w:b/>
                <w:lang w:val="sr-Latn-CS"/>
              </w:rPr>
              <w:t xml:space="preserve"> година производње 2013 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</w:p>
          <w:p w:rsidR="008829DD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Снага мотора 44 КС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sr-Latn-CS"/>
              </w:rPr>
              <w:t>Запремина мотора  1198</w:t>
            </w:r>
          </w:p>
          <w:p w:rsidR="008829DD" w:rsidRPr="00D302DC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422"/>
        </w:trPr>
        <w:tc>
          <w:tcPr>
            <w:tcW w:w="530" w:type="dxa"/>
            <w:vMerge w:val="restart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92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47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3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3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3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86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4" w:type="dxa"/>
            <w:gridSpan w:val="5"/>
          </w:tcPr>
          <w:p w:rsidR="008829DD" w:rsidRPr="00D302DC" w:rsidRDefault="008829DD" w:rsidP="008A30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302DC">
              <w:rPr>
                <w:rFonts w:ascii="Times New Roman" w:hAnsi="Times New Roman"/>
                <w:b/>
              </w:rPr>
              <w:t>Шкода</w:t>
            </w:r>
            <w:proofErr w:type="spellEnd"/>
            <w:r w:rsidRPr="00D302DC">
              <w:rPr>
                <w:rFonts w:ascii="Times New Roman" w:hAnsi="Times New Roman"/>
                <w:b/>
                <w:lang w:val="ru-RU"/>
              </w:rPr>
              <w:t xml:space="preserve"> фабиа 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2013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</w:p>
          <w:p w:rsidR="008829DD" w:rsidRPr="00D302DC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Снага мотора 44 КС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sr-Latn-CS"/>
              </w:rPr>
              <w:t>Запремина мотора  1198</w:t>
            </w:r>
          </w:p>
          <w:p w:rsidR="008829DD" w:rsidRPr="00D302DC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65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2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28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422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65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26654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2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4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5"/>
          </w:tcPr>
          <w:p w:rsidR="008829DD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</w:rPr>
              <w:t>DACIA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proofErr w:type="spellStart"/>
            <w:r w:rsidRPr="00D302DC">
              <w:rPr>
                <w:rFonts w:ascii="Times New Roman" w:hAnsi="Times New Roman"/>
                <w:b/>
              </w:rPr>
              <w:t>новиСандероамбиансе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1.5 ДЦИ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</w:t>
            </w:r>
            <w:r w:rsidRPr="00D302DC">
              <w:rPr>
                <w:rFonts w:ascii="Times New Roman" w:hAnsi="Times New Roman"/>
                <w:b/>
              </w:rPr>
              <w:t>15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ru-RU"/>
              </w:rPr>
              <w:t>Снага мотора 55, Запремина мотора 1461</w:t>
            </w:r>
          </w:p>
          <w:p w:rsidR="008829DD" w:rsidRPr="0036084F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29DD" w:rsidRPr="00D302DC" w:rsidTr="008A309C">
        <w:trPr>
          <w:cantSplit/>
          <w:trHeight w:val="458"/>
        </w:trPr>
        <w:tc>
          <w:tcPr>
            <w:tcW w:w="530" w:type="dxa"/>
            <w:vMerge w:val="restart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58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47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13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8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5"/>
          </w:tcPr>
          <w:p w:rsidR="008829DD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</w:rPr>
              <w:t>DACIA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proofErr w:type="spellStart"/>
            <w:r w:rsidRPr="00D302DC">
              <w:rPr>
                <w:rFonts w:ascii="Times New Roman" w:hAnsi="Times New Roman"/>
                <w:b/>
              </w:rPr>
              <w:t>новиСандероамбиансе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1.5 ДЦИ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</w:t>
            </w:r>
            <w:r w:rsidRPr="00D302DC">
              <w:rPr>
                <w:rFonts w:ascii="Times New Roman" w:hAnsi="Times New Roman"/>
                <w:b/>
              </w:rPr>
              <w:t>15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ru-RU"/>
              </w:rPr>
              <w:t>Снага мотора 55, Запремина мотора 1461</w:t>
            </w:r>
          </w:p>
          <w:p w:rsidR="008829DD" w:rsidRPr="0036084F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29DD" w:rsidRPr="00D302DC" w:rsidTr="008A309C">
        <w:trPr>
          <w:cantSplit/>
          <w:trHeight w:val="485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8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8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4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5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3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3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3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8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5"/>
          </w:tcPr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Peugeot</w:t>
            </w:r>
            <w:r w:rsidRPr="00D302DC">
              <w:rPr>
                <w:rFonts w:ascii="Times New Roman" w:hAnsi="Times New Roman"/>
                <w:b/>
                <w:lang w:val="ru-RU"/>
              </w:rPr>
              <w:t xml:space="preserve"> 407 ( путничко возило), Тип 407 . СТ конфорт 2,0 Е,</w:t>
            </w:r>
          </w:p>
          <w:p w:rsidR="008829DD" w:rsidRDefault="008829DD" w:rsidP="008A30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  <w:lang w:val="ru-RU"/>
              </w:rPr>
              <w:t>година производње 2005, Снага мотора 100 КС, Запремина мотора  1997 цм3</w:t>
            </w:r>
          </w:p>
          <w:p w:rsidR="008829DD" w:rsidRPr="0036084F" w:rsidRDefault="008829DD" w:rsidP="008A309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  <w:vMerge w:val="restart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22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38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22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4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4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4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12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5"/>
          </w:tcPr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D302DC">
              <w:rPr>
                <w:rFonts w:ascii="Times New Roman" w:hAnsi="Times New Roman"/>
                <w:b/>
                <w:lang w:val="ru-RU"/>
              </w:rPr>
              <w:t>Комби ( Путничко возило), Марка  Mercedes benz, Тип Vito L 108 CDI,</w:t>
            </w:r>
          </w:p>
          <w:p w:rsidR="008829DD" w:rsidRDefault="008829DD" w:rsidP="008A30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  <w:lang w:val="ru-RU"/>
              </w:rPr>
              <w:t>година производње 2002, Снага мотора 60 КС, Запремина мотора 2148 цм3</w:t>
            </w:r>
          </w:p>
          <w:p w:rsidR="008829DD" w:rsidRPr="0036084F" w:rsidRDefault="008829DD" w:rsidP="008A309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29DD" w:rsidRPr="00D302DC" w:rsidTr="008A309C">
        <w:trPr>
          <w:cantSplit/>
          <w:trHeight w:val="512"/>
        </w:trPr>
        <w:tc>
          <w:tcPr>
            <w:tcW w:w="530" w:type="dxa"/>
            <w:vMerge w:val="restart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30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00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00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728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728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728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728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02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5"/>
          </w:tcPr>
          <w:p w:rsidR="008829DD" w:rsidRPr="00303DB1" w:rsidRDefault="008829DD" w:rsidP="008A3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 ( Путничко возило), Марка  Опел, Тип Виваро Комби, година 2012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829DD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Снага мотора 84 KW, Запремина мотора 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1995 CCM</w:t>
            </w:r>
          </w:p>
          <w:p w:rsidR="008829DD" w:rsidRPr="00D302DC" w:rsidRDefault="008829DD" w:rsidP="008A309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02"/>
        </w:trPr>
        <w:tc>
          <w:tcPr>
            <w:tcW w:w="530" w:type="dxa"/>
            <w:vMerge w:val="restart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40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728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93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89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67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67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67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84" w:type="dxa"/>
            <w:gridSpan w:val="5"/>
            <w:tcBorders>
              <w:bottom w:val="single" w:sz="4" w:space="0" w:color="auto"/>
            </w:tcBorders>
          </w:tcPr>
          <w:p w:rsidR="008829DD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Фиат Пунто (Путничко возило)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 Фиат ,Тип Пунто Ево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2, година 2010, Снага мотор 48KW, Запремина мотора 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242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  <w:p w:rsidR="008829DD" w:rsidRPr="00D302DC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54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70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19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30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96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96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96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DD" w:rsidRPr="0024103E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Citroen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Теретно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Citroen,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мотора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KW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Запремина мотора 1560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  <w:p w:rsidR="008829DD" w:rsidRPr="00D302DC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1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9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7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386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324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AD443A" w:rsidRDefault="008829DD" w:rsidP="008A309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080" w:type="dxa"/>
            <w:gridSpan w:val="4"/>
            <w:tcBorders>
              <w:bottom w:val="single" w:sz="4" w:space="0" w:color="auto"/>
            </w:tcBorders>
          </w:tcPr>
          <w:p w:rsidR="008829DD" w:rsidRPr="0036084F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цена без ПДВ-а, за све ставке, за сва возила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9.)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AD443A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080" w:type="dxa"/>
            <w:gridSpan w:val="4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цена са ПДВ-ом, за све ставке, за сва возила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 ( од 1. До 9.)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8829DD" w:rsidRPr="00FF3DB5" w:rsidRDefault="008829DD" w:rsidP="008829DD">
      <w:pPr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1: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67"/>
        <w:gridCol w:w="1093"/>
        <w:gridCol w:w="1260"/>
        <w:gridCol w:w="2494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4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</w:rPr>
              <w:t>2.</w:t>
            </w:r>
            <w:r w:rsidR="00677259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D302DC">
              <w:rPr>
                <w:rFonts w:ascii="Times New Roman" w:hAnsi="Times New Roman"/>
                <w:b/>
                <w:lang w:val="sr-Cyrl-CS"/>
              </w:rPr>
              <w:t>К</w:t>
            </w:r>
            <w:proofErr w:type="spellStart"/>
            <w:r w:rsidR="00677259">
              <w:rPr>
                <w:rFonts w:ascii="Times New Roman" w:hAnsi="Times New Roman"/>
                <w:b/>
              </w:rPr>
              <w:t>ом</w:t>
            </w:r>
            <w:proofErr w:type="spellEnd"/>
            <w:r w:rsidRPr="00D302DC">
              <w:rPr>
                <w:rFonts w:ascii="Times New Roman" w:hAnsi="Times New Roman"/>
                <w:b/>
              </w:rPr>
              <w:t>.</w:t>
            </w:r>
            <w:r w:rsidR="00677259"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D302DC">
              <w:rPr>
                <w:rFonts w:ascii="Times New Roman" w:hAnsi="Times New Roman"/>
                <w:b/>
              </w:rPr>
              <w:t>Шкода</w:t>
            </w:r>
            <w:proofErr w:type="spellEnd"/>
            <w:r w:rsidRPr="00D302DC">
              <w:rPr>
                <w:rFonts w:ascii="Times New Roman" w:hAnsi="Times New Roman"/>
                <w:b/>
                <w:lang w:val="ru-RU"/>
              </w:rPr>
              <w:t xml:space="preserve"> фабиа </w:t>
            </w:r>
            <w:r w:rsidRPr="00D302DC">
              <w:rPr>
                <w:rFonts w:ascii="Times New Roman" w:hAnsi="Times New Roman"/>
                <w:b/>
              </w:rPr>
              <w:t>(</w:t>
            </w:r>
            <w:proofErr w:type="spellStart"/>
            <w:r w:rsidRPr="00D302DC">
              <w:rPr>
                <w:rFonts w:ascii="Times New Roman" w:hAnsi="Times New Roman"/>
                <w:b/>
              </w:rPr>
              <w:t>путничко</w:t>
            </w:r>
            <w:proofErr w:type="spellEnd"/>
            <w:proofErr w:type="gramStart"/>
            <w:r w:rsidRPr="00D302DC">
              <w:rPr>
                <w:rFonts w:ascii="Times New Roman" w:hAnsi="Times New Roman"/>
                <w:b/>
              </w:rPr>
              <w:t>)</w:t>
            </w:r>
            <w:r w:rsidRPr="00D302DC">
              <w:rPr>
                <w:rFonts w:ascii="Times New Roman" w:hAnsi="Times New Roman"/>
                <w:b/>
                <w:lang w:val="sr-Cyrl-CS"/>
              </w:rPr>
              <w:t>,  г</w:t>
            </w:r>
            <w:proofErr w:type="spellStart"/>
            <w:r w:rsidR="00677259">
              <w:rPr>
                <w:rFonts w:ascii="Times New Roman" w:hAnsi="Times New Roman"/>
                <w:b/>
              </w:rPr>
              <w:t>одинапроизводње</w:t>
            </w:r>
            <w:proofErr w:type="spellEnd"/>
            <w:proofErr w:type="gramEnd"/>
            <w:r w:rsidR="00677259">
              <w:rPr>
                <w:rFonts w:ascii="Times New Roman" w:hAnsi="Times New Roman"/>
                <w:b/>
              </w:rPr>
              <w:t xml:space="preserve"> 2013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</w:p>
          <w:p w:rsidR="008829DD" w:rsidRPr="00D302DC" w:rsidRDefault="008829DD" w:rsidP="008A3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Снага мотора 44 КС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sr-Latn-CS"/>
              </w:rPr>
              <w:t>Запремина мотора  1198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70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185/70/15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FF3DB5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>Табел</w:t>
      </w:r>
      <w:r w:rsidRPr="00D302DC">
        <w:rPr>
          <w:rFonts w:ascii="Times New Roman" w:hAnsi="Times New Roman"/>
          <w:sz w:val="24"/>
          <w:szCs w:val="24"/>
        </w:rPr>
        <w:t xml:space="preserve">a 2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50"/>
        <w:gridCol w:w="1100"/>
        <w:gridCol w:w="1210"/>
        <w:gridCol w:w="2567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27" w:type="dxa"/>
            <w:gridSpan w:val="4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</w:rPr>
              <w:t>2.Ком. DACIA</w:t>
            </w:r>
            <w:r w:rsidR="00677259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proofErr w:type="spellStart"/>
            <w:r w:rsidRPr="00D302DC">
              <w:rPr>
                <w:rFonts w:ascii="Times New Roman" w:hAnsi="Times New Roman"/>
                <w:b/>
              </w:rPr>
              <w:t>нови</w:t>
            </w:r>
            <w:proofErr w:type="spellEnd"/>
            <w:r w:rsidR="00677259">
              <w:rPr>
                <w:rFonts w:ascii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D302DC">
              <w:rPr>
                <w:rFonts w:ascii="Times New Roman" w:hAnsi="Times New Roman"/>
                <w:b/>
              </w:rPr>
              <w:t>Сандероамбиансе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1.5 ДЦИ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</w:t>
            </w:r>
            <w:r w:rsidRPr="00D302DC">
              <w:rPr>
                <w:rFonts w:ascii="Times New Roman" w:hAnsi="Times New Roman"/>
                <w:b/>
              </w:rPr>
              <w:t>15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ru-RU"/>
              </w:rPr>
              <w:t>Снага мотора 55, Запремина мотора 1461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Грејач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паљења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185/70/15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FF3DB5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 xml:space="preserve">3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804"/>
        <w:gridCol w:w="1080"/>
        <w:gridCol w:w="1170"/>
        <w:gridCol w:w="2610"/>
      </w:tblGrid>
      <w:tr w:rsidR="008829DD" w:rsidRPr="00D302DC" w:rsidTr="008A309C">
        <w:trPr>
          <w:trHeight w:val="788"/>
        </w:trPr>
        <w:tc>
          <w:tcPr>
            <w:tcW w:w="624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Peugeot</w:t>
            </w:r>
            <w:r w:rsidR="006772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407 (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путничко возило), Тип 407  СТ </w:t>
            </w:r>
            <w:r w:rsidRPr="00D302D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онфорт 2,0 Е,</w:t>
            </w:r>
          </w:p>
          <w:p w:rsidR="008829DD" w:rsidRPr="00D302DC" w:rsidRDefault="008829DD" w:rsidP="008A30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година производње 2005, Снага мотора 100 КС, Запремина мотора  1997 цм3;</w:t>
            </w:r>
          </w:p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gridAfter w:val="1"/>
          <w:wAfter w:w="2610" w:type="dxa"/>
          <w:trHeight w:val="468"/>
        </w:trPr>
        <w:tc>
          <w:tcPr>
            <w:tcW w:w="624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0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80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0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361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770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528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205/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60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/16</w:t>
            </w:r>
          </w:p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29DD" w:rsidRPr="00485D48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>4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67"/>
        <w:gridCol w:w="1093"/>
        <w:gridCol w:w="1260"/>
        <w:gridCol w:w="1247"/>
        <w:gridCol w:w="1247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5"/>
            <w:tcBorders>
              <w:top w:val="single" w:sz="4" w:space="0" w:color="auto"/>
            </w:tcBorders>
          </w:tcPr>
          <w:p w:rsidR="008829DD" w:rsidRPr="00D302DC" w:rsidRDefault="00677259" w:rsidP="008A3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 (</w:t>
            </w:r>
            <w:r w:rsidR="008829DD"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Путничко возило), Марка  Mercedes benz, Тип Vito L 108 CDI,</w:t>
            </w:r>
          </w:p>
          <w:p w:rsidR="008829DD" w:rsidRPr="00D302DC" w:rsidRDefault="008829DD" w:rsidP="008A30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година производње 2002, Снага мотора 60 КС, Запремина мотора 2148 цм3;</w:t>
            </w:r>
          </w:p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47" w:type="dxa"/>
          </w:tcPr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</w:tr>
      <w:tr w:rsidR="008829DD" w:rsidRPr="00D302DC" w:rsidTr="008829DD">
        <w:trPr>
          <w:gridAfter w:val="2"/>
          <w:wAfter w:w="2494" w:type="dxa"/>
          <w:trHeight w:val="70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Грејач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паљења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42265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Гуме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195/65/1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6</w:t>
            </w:r>
          </w:p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FF3DB5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>5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67"/>
        <w:gridCol w:w="1093"/>
        <w:gridCol w:w="1260"/>
        <w:gridCol w:w="2494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4"/>
            <w:tcBorders>
              <w:top w:val="single" w:sz="4" w:space="0" w:color="auto"/>
            </w:tcBorders>
          </w:tcPr>
          <w:p w:rsidR="008829DD" w:rsidRPr="00D302DC" w:rsidRDefault="00677259" w:rsidP="008A3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 (</w:t>
            </w:r>
            <w:r w:rsidR="008829DD"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Путничко возило), Марка  Опел, Тип Виваро Комби, година 2012,  Снага мотора 84 KW, Запремина мотора </w:t>
            </w:r>
            <w:r w:rsidR="008829DD"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1995 CCM</w:t>
            </w:r>
            <w:r w:rsidR="008829DD"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;</w:t>
            </w:r>
          </w:p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Грејач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паљења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195/65/16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FF3DB5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 xml:space="preserve">6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67"/>
        <w:gridCol w:w="1093"/>
        <w:gridCol w:w="1260"/>
        <w:gridCol w:w="1247"/>
        <w:gridCol w:w="1273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Фиат Пунто (Путничко возило)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 Фиат Тип Пунто Ево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2, година 2010, Снага мотора   48KW, Запремина мотора 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242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</w:tc>
      </w:tr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7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65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/15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FF3DB5" w:rsidRDefault="008829DD" w:rsidP="008829DD">
      <w:pPr>
        <w:jc w:val="both"/>
        <w:rPr>
          <w:rFonts w:ascii="Times New Roman" w:hAnsi="Times New Roman"/>
          <w:sz w:val="24"/>
          <w:szCs w:val="24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>Табела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2DC">
        <w:rPr>
          <w:rFonts w:ascii="Times New Roman" w:hAnsi="Times New Roman"/>
          <w:sz w:val="24"/>
          <w:szCs w:val="24"/>
        </w:rPr>
        <w:t xml:space="preserve">7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67"/>
        <w:gridCol w:w="1093"/>
        <w:gridCol w:w="1260"/>
        <w:gridCol w:w="2520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auto"/>
            </w:tcBorders>
          </w:tcPr>
          <w:p w:rsidR="008829DD" w:rsidRPr="00203308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Citroen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Теретно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Citroen,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мотора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KW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Запремина мотора 1560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</w:t>
            </w:r>
            <w:r w:rsidR="00492912">
              <w:rPr>
                <w:rFonts w:ascii="Times New Roman" w:eastAsia="Times New Roman" w:hAnsi="Times New Roman"/>
                <w:sz w:val="24"/>
                <w:szCs w:val="24"/>
                <w:lang w:val="sr-Cyrl-RS" w:eastAsia="sr-Latn-CS"/>
              </w:rPr>
              <w:t xml:space="preserve"> </w:t>
            </w:r>
            <w:bookmarkStart w:id="0" w:name="_GoBack"/>
            <w:bookmarkEnd w:id="0"/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400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75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/70/15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Pr="008829DD" w:rsidRDefault="008829DD">
      <w:pPr>
        <w:rPr>
          <w:lang w:val="sr-Latn-CS"/>
        </w:rPr>
      </w:pPr>
    </w:p>
    <w:sectPr w:rsidR="008829DD" w:rsidRPr="008829DD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7078A"/>
    <w:multiLevelType w:val="hybridMultilevel"/>
    <w:tmpl w:val="D162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00F23"/>
    <w:multiLevelType w:val="hybridMultilevel"/>
    <w:tmpl w:val="C7F6D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4CF3358"/>
    <w:multiLevelType w:val="hybridMultilevel"/>
    <w:tmpl w:val="D7627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5799A"/>
    <w:multiLevelType w:val="multilevel"/>
    <w:tmpl w:val="100293A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24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6" w15:restartNumberingAfterBreak="0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9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9"/>
  </w:num>
  <w:num w:numId="5">
    <w:abstractNumId w:val="35"/>
  </w:num>
  <w:num w:numId="6">
    <w:abstractNumId w:val="32"/>
  </w:num>
  <w:num w:numId="7">
    <w:abstractNumId w:val="4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8"/>
  </w:num>
  <w:num w:numId="31">
    <w:abstractNumId w:val="5"/>
  </w:num>
  <w:num w:numId="32">
    <w:abstractNumId w:val="20"/>
  </w:num>
  <w:num w:numId="33">
    <w:abstractNumId w:val="2"/>
  </w:num>
  <w:num w:numId="34">
    <w:abstractNumId w:val="8"/>
  </w:num>
  <w:num w:numId="35">
    <w:abstractNumId w:val="31"/>
  </w:num>
  <w:num w:numId="36">
    <w:abstractNumId w:val="0"/>
  </w:num>
  <w:num w:numId="37">
    <w:abstractNumId w:val="23"/>
  </w:num>
  <w:num w:numId="38">
    <w:abstractNumId w:val="24"/>
  </w:num>
  <w:num w:numId="39">
    <w:abstractNumId w:val="3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9DD"/>
    <w:rsid w:val="00051E30"/>
    <w:rsid w:val="000A33C0"/>
    <w:rsid w:val="000F7A14"/>
    <w:rsid w:val="00117425"/>
    <w:rsid w:val="002200F8"/>
    <w:rsid w:val="002E2037"/>
    <w:rsid w:val="00306D11"/>
    <w:rsid w:val="003A5C5B"/>
    <w:rsid w:val="00492912"/>
    <w:rsid w:val="004C5951"/>
    <w:rsid w:val="005346A1"/>
    <w:rsid w:val="005C66F5"/>
    <w:rsid w:val="00650D7C"/>
    <w:rsid w:val="00677259"/>
    <w:rsid w:val="00731D1F"/>
    <w:rsid w:val="00841966"/>
    <w:rsid w:val="008829DD"/>
    <w:rsid w:val="008E4DE8"/>
    <w:rsid w:val="008F0A90"/>
    <w:rsid w:val="009E43CC"/>
    <w:rsid w:val="00A07CF6"/>
    <w:rsid w:val="00AC48D4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F9AA"/>
  <w15:docId w15:val="{02715E86-0A1C-4C92-B84F-C706BF33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D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829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8829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8829DD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829DD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8829DD"/>
    <w:rPr>
      <w:rFonts w:ascii="Calibri" w:eastAsia="Times New Roman" w:hAnsi="Calibri" w:cs="Times New Roman"/>
      <w:lang w:val="sr-Latn-CS" w:eastAsia="sr-Latn-CS"/>
    </w:rPr>
  </w:style>
  <w:style w:type="character" w:customStyle="1" w:styleId="Bodytext6">
    <w:name w:val="Body text (6)_"/>
    <w:basedOn w:val="DefaultParagraphFont"/>
    <w:link w:val="Bodytext61"/>
    <w:rsid w:val="008829DD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6256">
    <w:name w:val="Body text (6)256"/>
    <w:basedOn w:val="Bodytext6"/>
    <w:rsid w:val="008829DD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8829DD"/>
    <w:pPr>
      <w:shd w:val="clear" w:color="auto" w:fill="FFFFFF"/>
      <w:spacing w:after="0" w:line="240" w:lineRule="atLeast"/>
      <w:ind w:hanging="740"/>
    </w:pPr>
    <w:rPr>
      <w:rFonts w:ascii="Arial" w:eastAsiaTheme="minorHAnsi" w:hAnsi="Arial" w:cs="Arial"/>
      <w:sz w:val="18"/>
      <w:szCs w:val="18"/>
    </w:rPr>
  </w:style>
  <w:style w:type="character" w:customStyle="1" w:styleId="Bodytext6248">
    <w:name w:val="Body text (6)248"/>
    <w:basedOn w:val="Bodytext6"/>
    <w:rsid w:val="008829DD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8829D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8829DD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8829D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2">
    <w:name w:val="fontstyle12"/>
    <w:basedOn w:val="DefaultParagraphFont"/>
    <w:rsid w:val="008829DD"/>
  </w:style>
  <w:style w:type="paragraph" w:styleId="Header">
    <w:name w:val="header"/>
    <w:basedOn w:val="Normal"/>
    <w:link w:val="HeaderChar"/>
    <w:unhideWhenUsed/>
    <w:rsid w:val="00882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29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2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9D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829D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829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29D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829D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829D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8829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8829D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8829D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829D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829DD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8829DD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8829DD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29DD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829DD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8829D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829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8829DD"/>
    <w:rPr>
      <w:vertAlign w:val="superscript"/>
    </w:rPr>
  </w:style>
  <w:style w:type="character" w:customStyle="1" w:styleId="apple-converted-space">
    <w:name w:val="apple-converted-space"/>
    <w:basedOn w:val="DefaultParagraphFont"/>
    <w:rsid w:val="008829DD"/>
  </w:style>
  <w:style w:type="character" w:styleId="Strong">
    <w:name w:val="Strong"/>
    <w:basedOn w:val="DefaultParagraphFont"/>
    <w:qFormat/>
    <w:rsid w:val="008829DD"/>
    <w:rPr>
      <w:b/>
      <w:bCs/>
    </w:rPr>
  </w:style>
  <w:style w:type="character" w:customStyle="1" w:styleId="Bodytext22">
    <w:name w:val="Body text (22)_"/>
    <w:basedOn w:val="DefaultParagraphFont"/>
    <w:link w:val="Bodytext221"/>
    <w:rsid w:val="008829DD"/>
    <w:rPr>
      <w:rFonts w:ascii="Arial" w:hAnsi="Arial" w:cs="Arial"/>
      <w:shd w:val="clear" w:color="auto" w:fill="FFFFFF"/>
    </w:rPr>
  </w:style>
  <w:style w:type="character" w:customStyle="1" w:styleId="Bodytext2239">
    <w:name w:val="Body text (22)39"/>
    <w:basedOn w:val="Bodytext22"/>
    <w:rsid w:val="008829DD"/>
    <w:rPr>
      <w:rFonts w:ascii="Arial" w:hAnsi="Arial" w:cs="Arial"/>
      <w:shd w:val="clear" w:color="auto" w:fill="FFFFFF"/>
    </w:rPr>
  </w:style>
  <w:style w:type="paragraph" w:customStyle="1" w:styleId="Bodytext221">
    <w:name w:val="Body text (22)1"/>
    <w:basedOn w:val="Normal"/>
    <w:link w:val="Bodytext22"/>
    <w:rsid w:val="008829DD"/>
    <w:pPr>
      <w:shd w:val="clear" w:color="auto" w:fill="FFFFFF"/>
      <w:spacing w:after="1080" w:line="240" w:lineRule="atLeast"/>
    </w:pPr>
    <w:rPr>
      <w:rFonts w:ascii="Arial" w:eastAsiaTheme="minorHAnsi" w:hAnsi="Arial" w:cs="Arial"/>
    </w:rPr>
  </w:style>
  <w:style w:type="character" w:customStyle="1" w:styleId="Bodytext6107">
    <w:name w:val="Body text (6)107"/>
    <w:basedOn w:val="Bodytext6"/>
    <w:rsid w:val="008829DD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8829DD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table" w:styleId="TableGrid">
    <w:name w:val="Table Grid"/>
    <w:basedOn w:val="TableNormal"/>
    <w:rsid w:val="008829DD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690">
    <w:name w:val="Body text (6)90"/>
    <w:basedOn w:val="Bodytext6"/>
    <w:rsid w:val="008829DD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Bold1">
    <w:name w:val="Body text (6) + Bold1"/>
    <w:basedOn w:val="Bodytext6"/>
    <w:rsid w:val="008829D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6276">
    <w:name w:val="Body text (6)276"/>
    <w:basedOn w:val="Bodytext6"/>
    <w:rsid w:val="008829DD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8">
    <w:name w:val="Body text (6)88"/>
    <w:basedOn w:val="Bodytext6"/>
    <w:rsid w:val="008829DD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86">
    <w:name w:val="Body text (6)86"/>
    <w:basedOn w:val="Bodytext6"/>
    <w:rsid w:val="008829DD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80">
    <w:name w:val="Body text (6)80"/>
    <w:basedOn w:val="Bodytext6"/>
    <w:rsid w:val="008829DD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8829DD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7">
    <w:name w:val="Body text (6)77"/>
    <w:basedOn w:val="Bodytext6"/>
    <w:rsid w:val="008829DD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8829DD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83">
    <w:name w:val="Body text (6)83"/>
    <w:basedOn w:val="Bodytext6"/>
    <w:rsid w:val="008829DD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8829DD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8829DD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69">
    <w:name w:val="Body text (6)69"/>
    <w:basedOn w:val="Bodytext6"/>
    <w:rsid w:val="008829DD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paragraph" w:customStyle="1" w:styleId="Normal1">
    <w:name w:val="Normal1"/>
    <w:rsid w:val="008829DD"/>
    <w:rPr>
      <w:rFonts w:ascii="Times New Roman" w:eastAsia="Times New Roman" w:hAnsi="Times New Roman" w:cs="Times New Roman"/>
      <w:color w:val="000000"/>
      <w:sz w:val="24"/>
      <w:szCs w:val="20"/>
      <w:lang w:val="sr-Latn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88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2286</Words>
  <Characters>13034</Characters>
  <Application>Microsoft Office Word</Application>
  <DocSecurity>0</DocSecurity>
  <Lines>108</Lines>
  <Paragraphs>30</Paragraphs>
  <ScaleCrop>false</ScaleCrop>
  <Company>ZV7</Company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6</cp:revision>
  <dcterms:created xsi:type="dcterms:W3CDTF">2021-03-08T13:45:00Z</dcterms:created>
  <dcterms:modified xsi:type="dcterms:W3CDTF">2022-03-08T11:07:00Z</dcterms:modified>
</cp:coreProperties>
</file>