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3" w:rsidRPr="00D4086B" w:rsidRDefault="001873C3" w:rsidP="00B14A83">
      <w:pPr>
        <w:rPr>
          <w:rFonts w:asciiTheme="majorHAnsi" w:hAnsiTheme="majorHAnsi"/>
          <w:lang w:val="sr-Cyrl-CS"/>
        </w:rPr>
      </w:pPr>
      <w:r w:rsidRPr="00D4086B">
        <w:rPr>
          <w:rFonts w:asciiTheme="majorHAnsi" w:hAnsiTheme="majorHAnsi"/>
          <w:lang w:val="sr-Cyrl-CS"/>
        </w:rPr>
        <w:t>Бр</w:t>
      </w:r>
      <w:r w:rsidR="00301439" w:rsidRPr="00D4086B">
        <w:rPr>
          <w:rFonts w:asciiTheme="majorHAnsi" w:hAnsiTheme="majorHAnsi"/>
          <w:lang w:val="sr-Cyrl-CS"/>
        </w:rPr>
        <w:t>ој</w:t>
      </w:r>
      <w:r w:rsidRPr="00D4086B">
        <w:rPr>
          <w:rFonts w:asciiTheme="majorHAnsi" w:hAnsiTheme="majorHAnsi"/>
        </w:rPr>
        <w:t>:</w:t>
      </w:r>
      <w:r w:rsidR="00883B26">
        <w:rPr>
          <w:rFonts w:asciiTheme="majorHAnsi" w:hAnsiTheme="majorHAnsi"/>
        </w:rPr>
        <w:t xml:space="preserve"> </w:t>
      </w:r>
      <w:r w:rsidR="00EF67A7">
        <w:rPr>
          <w:rFonts w:asciiTheme="majorHAnsi" w:hAnsiTheme="majorHAnsi"/>
        </w:rPr>
        <w:t>3187</w:t>
      </w:r>
      <w:r w:rsidR="00997FAB" w:rsidRPr="00D4086B">
        <w:rPr>
          <w:rFonts w:asciiTheme="majorHAnsi" w:hAnsiTheme="majorHAnsi"/>
          <w:lang w:val="sr-Cyrl-CS"/>
        </w:rPr>
        <w:t>/1</w:t>
      </w:r>
    </w:p>
    <w:p w:rsidR="000B49C0" w:rsidRDefault="00657672" w:rsidP="00D4086B">
      <w:pPr>
        <w:rPr>
          <w:rFonts w:asciiTheme="majorHAnsi" w:hAnsiTheme="majorHAnsi"/>
        </w:rPr>
      </w:pPr>
      <w:r w:rsidRPr="00D4086B">
        <w:rPr>
          <w:rFonts w:asciiTheme="majorHAnsi" w:hAnsiTheme="majorHAnsi"/>
          <w:lang w:val="sr-Cyrl-CS"/>
        </w:rPr>
        <w:t>Дана</w:t>
      </w:r>
      <w:r w:rsidR="00B14A83" w:rsidRPr="00D4086B">
        <w:rPr>
          <w:rFonts w:asciiTheme="majorHAnsi" w:hAnsiTheme="majorHAnsi"/>
        </w:rPr>
        <w:t>:</w:t>
      </w:r>
      <w:r w:rsidR="00EA1C3E">
        <w:rPr>
          <w:rFonts w:asciiTheme="majorHAnsi" w:hAnsiTheme="majorHAnsi"/>
        </w:rPr>
        <w:t xml:space="preserve"> 20.07</w:t>
      </w:r>
      <w:r w:rsidR="00997FAB" w:rsidRPr="00D4086B">
        <w:rPr>
          <w:rFonts w:asciiTheme="majorHAnsi" w:hAnsiTheme="majorHAnsi"/>
        </w:rPr>
        <w:t>.20</w:t>
      </w:r>
      <w:r w:rsidR="00883B26">
        <w:rPr>
          <w:rFonts w:asciiTheme="majorHAnsi" w:hAnsiTheme="majorHAnsi"/>
          <w:lang w:val="sr-Cyrl-CS"/>
        </w:rPr>
        <w:t>22</w:t>
      </w:r>
      <w:r w:rsidR="00301439" w:rsidRPr="00D4086B">
        <w:rPr>
          <w:rFonts w:asciiTheme="majorHAnsi" w:hAnsiTheme="majorHAnsi"/>
        </w:rPr>
        <w:t xml:space="preserve">. </w:t>
      </w:r>
      <w:r w:rsidRPr="00D4086B">
        <w:rPr>
          <w:rFonts w:asciiTheme="majorHAnsi" w:hAnsiTheme="majorHAnsi"/>
        </w:rPr>
        <w:t>године</w:t>
      </w:r>
    </w:p>
    <w:p w:rsidR="00653844" w:rsidRPr="00D4086B" w:rsidRDefault="00653844" w:rsidP="00D4086B">
      <w:pPr>
        <w:rPr>
          <w:rFonts w:asciiTheme="majorHAnsi" w:hAnsiTheme="majorHAnsi"/>
        </w:rPr>
      </w:pPr>
    </w:p>
    <w:p w:rsidR="00B14A83" w:rsidRPr="00653844" w:rsidRDefault="00653844" w:rsidP="00653844">
      <w:pPr>
        <w:spacing w:line="260" w:lineRule="exact"/>
        <w:ind w:left="2476"/>
        <w:rPr>
          <w:rFonts w:asciiTheme="majorHAnsi" w:hAnsiTheme="majorHAnsi"/>
          <w:b/>
          <w:spacing w:val="1"/>
          <w:position w:val="-1"/>
        </w:rPr>
      </w:pPr>
      <w:r>
        <w:rPr>
          <w:rFonts w:asciiTheme="majorHAnsi" w:hAnsiTheme="majorHAnsi"/>
          <w:b/>
        </w:rPr>
        <w:t xml:space="preserve">                             </w:t>
      </w:r>
      <w:r w:rsidR="001353D0" w:rsidRPr="00653844">
        <w:rPr>
          <w:rFonts w:asciiTheme="majorHAnsi" w:hAnsiTheme="majorHAnsi"/>
          <w:b/>
        </w:rPr>
        <w:t>ПОЗИВ</w:t>
      </w:r>
    </w:p>
    <w:p w:rsidR="00B14A83" w:rsidRPr="00D4086B" w:rsidRDefault="00B14A83" w:rsidP="00B14A83">
      <w:pPr>
        <w:spacing w:before="19" w:line="260" w:lineRule="exact"/>
        <w:rPr>
          <w:rFonts w:asciiTheme="majorHAnsi" w:hAnsiTheme="majorHAnsi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6379"/>
      </w:tblGrid>
      <w:tr w:rsidR="00B14A83" w:rsidRPr="00D4086B" w:rsidTr="007248B8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b/>
                <w:lang w:val="es-ES"/>
              </w:rPr>
              <w:t>Центар</w:t>
            </w:r>
            <w:r w:rsidR="005A5DD7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r w:rsidR="005A5DD7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r w:rsidRPr="00D4086B">
              <w:rPr>
                <w:rFonts w:asciiTheme="majorHAnsi" w:hAnsiTheme="majorHAnsi"/>
                <w:b/>
                <w:lang w:val="sr-Cyrl-CS"/>
              </w:rPr>
              <w:t>ш</w:t>
            </w:r>
            <w:r w:rsidRPr="00D4086B">
              <w:rPr>
                <w:rFonts w:asciiTheme="majorHAnsi" w:hAnsiTheme="majorHAnsi"/>
                <w:b/>
                <w:lang w:val="es-ES"/>
              </w:rPr>
              <w:t>титу</w:t>
            </w:r>
            <w:r w:rsidR="005A5DD7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одој</w:t>
            </w:r>
            <w:r w:rsidRPr="00D4086B">
              <w:rPr>
                <w:rFonts w:asciiTheme="majorHAnsi" w:hAnsiTheme="majorHAnsi"/>
                <w:b/>
                <w:lang w:val="sr-Cyrl-CS"/>
              </w:rPr>
              <w:t>ч</w:t>
            </w:r>
            <w:r w:rsidRPr="00D4086B">
              <w:rPr>
                <w:rFonts w:asciiTheme="majorHAnsi" w:hAnsiTheme="majorHAnsi"/>
                <w:b/>
                <w:lang w:val="es-ES"/>
              </w:rPr>
              <w:t>ади</w:t>
            </w:r>
            <w:r w:rsidRPr="00D4086B">
              <w:rPr>
                <w:rFonts w:asciiTheme="majorHAnsi" w:hAnsiTheme="majorHAnsi"/>
                <w:b/>
                <w:lang w:val="sr-Cyrl-CS"/>
              </w:rPr>
              <w:t xml:space="preserve">, </w:t>
            </w:r>
            <w:r w:rsidRPr="00D4086B">
              <w:rPr>
                <w:rFonts w:asciiTheme="majorHAnsi" w:hAnsiTheme="majorHAnsi"/>
                <w:b/>
                <w:lang w:val="es-ES"/>
              </w:rPr>
              <w:t>деце и омладине</w:t>
            </w: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B14A83" w:rsidRPr="00D4086B" w:rsidTr="007248B8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Адр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огр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д</w:t>
            </w:r>
            <w:r w:rsidR="00E027CF" w:rsidRPr="00D4086B">
              <w:rPr>
                <w:rFonts w:asciiTheme="majorHAnsi" w:hAnsiTheme="majorHAnsi"/>
              </w:rPr>
              <w:t>,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 xml:space="preserve">л. </w:t>
            </w:r>
            <w:r w:rsidRPr="00D4086B">
              <w:rPr>
                <w:rFonts w:asciiTheme="majorHAnsi" w:hAnsiTheme="majorHAnsi"/>
                <w:lang w:val="es-ES"/>
              </w:rPr>
              <w:t>Зве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lang w:val="es-ES"/>
              </w:rPr>
              <w:t>анска</w:t>
            </w:r>
            <w:r w:rsidR="005A5DD7">
              <w:rPr>
                <w:rFonts w:asciiTheme="majorHAnsi" w:hAnsiTheme="majorHAnsi"/>
              </w:rPr>
              <w:t xml:space="preserve"> </w:t>
            </w:r>
            <w:r w:rsidR="00301439" w:rsidRPr="00D4086B">
              <w:rPr>
                <w:rFonts w:asciiTheme="majorHAnsi" w:hAnsiTheme="majorHAnsi"/>
                <w:lang w:val="sr-Cyrl-CS"/>
              </w:rPr>
              <w:t xml:space="preserve">бр. </w:t>
            </w:r>
            <w:r w:rsidRPr="00D4086B">
              <w:rPr>
                <w:rFonts w:asciiTheme="majorHAnsi" w:hAnsiTheme="majorHAnsi"/>
                <w:lang w:val="sr-Cyrl-CS"/>
              </w:rPr>
              <w:t>7</w:t>
            </w:r>
          </w:p>
        </w:tc>
      </w:tr>
      <w:tr w:rsidR="00B14A83" w:rsidRPr="00D4086B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B14A83" w:rsidRPr="00D4086B" w:rsidTr="007248B8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rPr>
                <w:rFonts w:asciiTheme="majorHAnsi" w:hAnsiTheme="majorHAnsi"/>
              </w:rPr>
            </w:pPr>
            <w:r w:rsidRPr="00D4086B">
              <w:rPr>
                <w:rFonts w:asciiTheme="majorHAnsi" w:hAnsiTheme="majorHAnsi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 xml:space="preserve">оступак </w:t>
            </w:r>
            <w:r w:rsidRPr="00D4086B">
              <w:rPr>
                <w:rFonts w:asciiTheme="majorHAnsi" w:hAnsiTheme="majorHAnsi"/>
              </w:rPr>
              <w:t>набавке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путем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наруџбенице</w:t>
            </w:r>
          </w:p>
          <w:p w:rsidR="00B14A83" w:rsidRPr="00D4086B" w:rsidRDefault="00B14A83" w:rsidP="00EA1C3E">
            <w:pPr>
              <w:rPr>
                <w:rFonts w:asciiTheme="majorHAnsi" w:hAnsiTheme="majorHAnsi"/>
                <w:color w:val="FF0000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бр.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="00EA1C3E">
              <w:rPr>
                <w:rFonts w:asciiTheme="majorHAnsi" w:hAnsiTheme="majorHAnsi"/>
              </w:rPr>
              <w:t>31а</w:t>
            </w:r>
            <w:r w:rsidRPr="00D4086B">
              <w:rPr>
                <w:rFonts w:asciiTheme="majorHAnsi" w:hAnsiTheme="majorHAnsi"/>
                <w:lang w:val="sr-Cyrl-CS"/>
              </w:rPr>
              <w:t>/20</w:t>
            </w:r>
            <w:r w:rsidR="00997FAB" w:rsidRPr="00D4086B">
              <w:rPr>
                <w:rFonts w:asciiTheme="majorHAnsi" w:hAnsiTheme="majorHAnsi"/>
                <w:lang w:val="sr-Cyrl-CS"/>
              </w:rPr>
              <w:t>2</w:t>
            </w:r>
            <w:r w:rsidR="005A5DD7">
              <w:rPr>
                <w:rFonts w:asciiTheme="majorHAnsi" w:hAnsiTheme="majorHAnsi"/>
                <w:lang w:val="sr-Cyrl-CS"/>
              </w:rPr>
              <w:t>2</w:t>
            </w:r>
          </w:p>
        </w:tc>
      </w:tr>
      <w:tr w:rsidR="00B14A83" w:rsidRPr="00D4086B" w:rsidTr="00EA1C3E">
        <w:trPr>
          <w:trHeight w:hRule="exact" w:val="8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C3E" w:rsidRDefault="00EA1C3E" w:rsidP="00EA1C3E">
            <w:pPr>
              <w:jc w:val="both"/>
              <w:rPr>
                <w:rFonts w:ascii="Cambria" w:hAnsi="Cambria"/>
                <w:iCs/>
                <w:lang w:val="sr-Cyrl-CS"/>
              </w:rPr>
            </w:pPr>
            <w:r w:rsidRPr="00156B20">
              <w:rPr>
                <w:rFonts w:ascii="Cambria" w:eastAsia="Calibri" w:hAnsi="Cambria"/>
                <w:color w:val="000000"/>
              </w:rPr>
              <w:t>Услуга</w:t>
            </w:r>
            <w:r>
              <w:rPr>
                <w:rFonts w:ascii="Cambria" w:eastAsia="Calibri" w:hAnsi="Cambria"/>
                <w:color w:val="000000"/>
              </w:rPr>
              <w:t xml:space="preserve"> тестирања физичких мрежних конекција ФЛУКЕ апаратом </w:t>
            </w:r>
            <w:r w:rsidRPr="00156B20">
              <w:rPr>
                <w:rFonts w:ascii="Cambria" w:hAnsi="Cambria"/>
                <w:iCs/>
                <w:lang w:val="sr-Cyrl-CS"/>
              </w:rPr>
              <w:t>за потребе Центра за заштиту одојчади, деце и омладине</w:t>
            </w:r>
          </w:p>
          <w:p w:rsidR="00B14A83" w:rsidRPr="00D4086B" w:rsidRDefault="00B14A83" w:rsidP="00EA1C3E">
            <w:pPr>
              <w:rPr>
                <w:rFonts w:asciiTheme="majorHAnsi" w:hAnsiTheme="majorHAnsi"/>
              </w:rPr>
            </w:pPr>
          </w:p>
        </w:tc>
      </w:tr>
      <w:tr w:rsidR="00B14A83" w:rsidRPr="00D4086B" w:rsidTr="00B86788">
        <w:trPr>
          <w:trHeight w:hRule="exact" w:val="14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:rsidR="00B86788" w:rsidRPr="00D4086B" w:rsidRDefault="00B14A83" w:rsidP="00B86788">
            <w:pPr>
              <w:ind w:right="26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D4086B">
              <w:rPr>
                <w:rFonts w:asciiTheme="majorHAnsi" w:hAnsiTheme="majorHAnsi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 xml:space="preserve">,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="00B86788" w:rsidRPr="00D4086B">
              <w:rPr>
                <w:rFonts w:asciiTheme="majorHAnsi" w:hAnsiTheme="majorHAnsi"/>
                <w:lang w:val="sr-Cyrl-CS"/>
              </w:rPr>
              <w:t>ви о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="00B86788"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="00B86788" w:rsidRPr="00D4086B">
              <w:rPr>
                <w:rFonts w:asciiTheme="majorHAnsi" w:hAnsiTheme="majorHAnsi"/>
                <w:lang w:val="sr-Cyrl-CS"/>
              </w:rPr>
              <w:t>з</w:t>
            </w:r>
          </w:p>
          <w:p w:rsidR="00B86788" w:rsidRPr="00D4086B" w:rsidRDefault="00D501EA" w:rsidP="00B86788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hd w:val="clear" w:color="auto" w:fill="FFFFFF"/>
              </w:rPr>
              <w:t>Ј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единственог</w:t>
            </w:r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речника</w:t>
            </w:r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набавке СРV</w:t>
            </w:r>
          </w:p>
          <w:p w:rsidR="00B14A83" w:rsidRPr="00D4086B" w:rsidRDefault="00B14A83" w:rsidP="00B86788">
            <w:pPr>
              <w:ind w:left="102" w:right="262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C3E" w:rsidRDefault="00EA1C3E" w:rsidP="00EA1C3E">
            <w:pPr>
              <w:jc w:val="both"/>
              <w:rPr>
                <w:rFonts w:ascii="Cambria" w:hAnsi="Cambria"/>
                <w:iCs/>
                <w:lang w:val="sr-Cyrl-CS"/>
              </w:rPr>
            </w:pPr>
            <w:r w:rsidRPr="00156B20">
              <w:rPr>
                <w:rFonts w:ascii="Cambria" w:eastAsia="Calibri" w:hAnsi="Cambria"/>
                <w:color w:val="000000"/>
              </w:rPr>
              <w:t>Услуга</w:t>
            </w:r>
            <w:r>
              <w:rPr>
                <w:rFonts w:ascii="Cambria" w:eastAsia="Calibri" w:hAnsi="Cambria"/>
                <w:color w:val="000000"/>
              </w:rPr>
              <w:t xml:space="preserve"> тестирања физичких мрежних конекција ФЛУКЕ апаратом </w:t>
            </w:r>
            <w:r w:rsidRPr="00156B20">
              <w:rPr>
                <w:rFonts w:ascii="Cambria" w:hAnsi="Cambria"/>
                <w:iCs/>
                <w:lang w:val="sr-Cyrl-CS"/>
              </w:rPr>
              <w:t>за потребе Центра за заштиту одојчади, деце и омладине</w:t>
            </w:r>
          </w:p>
          <w:p w:rsidR="00EA1C3E" w:rsidRPr="00156B20" w:rsidRDefault="00EA1C3E" w:rsidP="00EA1C3E">
            <w:pPr>
              <w:jc w:val="both"/>
              <w:rPr>
                <w:rStyle w:val="Emphasis"/>
                <w:rFonts w:ascii="Cambria" w:hAnsi="Cambria"/>
                <w:i w:val="0"/>
              </w:rPr>
            </w:pPr>
          </w:p>
          <w:p w:rsidR="00EA1C3E" w:rsidRDefault="00EA1C3E" w:rsidP="00EA1C3E">
            <w:pPr>
              <w:spacing w:after="200" w:line="276" w:lineRule="auto"/>
              <w:jc w:val="both"/>
            </w:pPr>
            <w:r>
              <w:rPr>
                <w:rFonts w:ascii="Cambria" w:eastAsia="Calibri" w:hAnsi="Cambria"/>
                <w:b/>
                <w:bCs/>
                <w:noProof/>
                <w:lang w:val="sr-Cyrl-CS"/>
              </w:rPr>
              <w:t xml:space="preserve"> </w:t>
            </w:r>
            <w:r>
              <w:t>64221000-1- Услуге мрежног повезивања</w:t>
            </w:r>
          </w:p>
          <w:p w:rsidR="00301439" w:rsidRPr="00D4086B" w:rsidRDefault="00301439" w:rsidP="00EA1C3E">
            <w:pPr>
              <w:spacing w:after="200" w:line="276" w:lineRule="auto"/>
              <w:rPr>
                <w:rFonts w:asciiTheme="majorHAnsi" w:hAnsiTheme="majorHAnsi"/>
                <w:color w:val="FF0000"/>
                <w:lang w:val="sr-Cyrl-CS"/>
              </w:rPr>
            </w:pPr>
          </w:p>
        </w:tc>
      </w:tr>
    </w:tbl>
    <w:p w:rsidR="00106412" w:rsidRPr="00316BB5" w:rsidRDefault="00106412" w:rsidP="00B14A83">
      <w:pPr>
        <w:spacing w:line="200" w:lineRule="exact"/>
        <w:rPr>
          <w:rFonts w:asciiTheme="majorHAnsi" w:hAnsiTheme="majorHAnsi"/>
          <w:lang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6452"/>
      </w:tblGrid>
      <w:tr w:rsidR="00106412" w:rsidRPr="00D4086B" w:rsidTr="00316BB5">
        <w:trPr>
          <w:trHeight w:hRule="exact" w:val="2047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D4086B">
              <w:rPr>
                <w:rFonts w:asciiTheme="majorHAnsi" w:hAnsiTheme="majorHAnsi"/>
                <w:lang w:val="sr-Cyrl-CS"/>
              </w:rPr>
              <w:t xml:space="preserve">а 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лу</w:t>
            </w:r>
          </w:p>
          <w:p w:rsidR="00106412" w:rsidRPr="00316BB5" w:rsidRDefault="00316BB5" w:rsidP="00316BB5">
            <w:pPr>
              <w:ind w:left="102"/>
              <w:rPr>
                <w:rFonts w:asciiTheme="majorHAnsi" w:hAnsiTheme="majorHAnsi"/>
                <w:spacing w:val="2"/>
                <w:lang w:val="sr-Cyrl-CS"/>
              </w:rPr>
            </w:pPr>
            <w:r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="00106412" w:rsidRPr="00D4086B">
              <w:rPr>
                <w:rFonts w:asciiTheme="majorHAnsi" w:hAnsiTheme="majorHAnsi"/>
                <w:lang w:val="sr-Cyrl-CS"/>
              </w:rPr>
              <w:t>говор</w:t>
            </w:r>
            <w:r w:rsidR="00106412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>
              <w:rPr>
                <w:rFonts w:asciiTheme="majorHAnsi" w:hAnsiTheme="majorHAnsi"/>
                <w:spacing w:val="2"/>
                <w:lang w:val="sr-Cyrl-CS"/>
              </w:rPr>
              <w:t xml:space="preserve"> и временски период на који се</w:t>
            </w:r>
            <w:r>
              <w:rPr>
                <w:rFonts w:asciiTheme="majorHAnsi" w:hAnsiTheme="majorHAnsi"/>
                <w:spacing w:val="1"/>
                <w:lang w:val="sr-Cyrl-CS"/>
              </w:rPr>
              <w:t xml:space="preserve"> Уговор  закључује и Наруџбеница издаје: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B86788" w:rsidRDefault="00B86788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/>
              </w:rPr>
            </w:pP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Економски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>- Цена.</w:t>
            </w: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/>
              </w:rPr>
            </w:pP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/>
              </w:rPr>
              <w:t>Уговор се закључује и Наруџбеница издаје од дана потписивања истих до дана извршења услуге, тј. до 15.12.2022. године.</w:t>
            </w: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/>
              </w:rPr>
            </w:pP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/>
              </w:rPr>
            </w:pPr>
          </w:p>
          <w:p w:rsidR="00316BB5" w:rsidRP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color w:val="000000"/>
                <w:lang/>
              </w:rPr>
            </w:pPr>
          </w:p>
          <w:p w:rsidR="00106412" w:rsidRPr="00D4086B" w:rsidRDefault="00106412" w:rsidP="00543A1E">
            <w:pPr>
              <w:ind w:left="102"/>
              <w:rPr>
                <w:rFonts w:asciiTheme="majorHAnsi" w:hAnsiTheme="majorHAnsi"/>
                <w:i/>
                <w:lang w:val="sr-Cyrl-CS"/>
              </w:rPr>
            </w:pP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452"/>
      </w:tblGrid>
      <w:tr w:rsidR="00106412" w:rsidRPr="00D4086B" w:rsidTr="00543A1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путем </w:t>
            </w:r>
            <w:r w:rsidRPr="000C531A">
              <w:rPr>
                <w:iCs/>
                <w:lang w:val="sr-Cyrl-CS"/>
              </w:rPr>
              <w:t>електронске</w:t>
            </w:r>
            <w:r>
              <w:rPr>
                <w:iCs/>
                <w:lang w:val="sr-Cyrl-CS"/>
              </w:rPr>
              <w:t xml:space="preserve"> поште.</w:t>
            </w:r>
          </w:p>
          <w:p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 w:rsidR="004C297B">
              <w:rPr>
                <w:b/>
                <w:iCs/>
              </w:rPr>
              <w:t>22</w:t>
            </w:r>
            <w:r>
              <w:rPr>
                <w:b/>
                <w:iCs/>
                <w:lang w:val="sr-Cyrl-CS"/>
              </w:rPr>
              <w:t>.</w:t>
            </w:r>
            <w:r w:rsidR="00EA1C3E">
              <w:rPr>
                <w:b/>
                <w:iCs/>
              </w:rPr>
              <w:t>07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DC1560" w:rsidRDefault="00DC1560" w:rsidP="00DC1560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</w:t>
            </w:r>
            <w:r w:rsidR="00F74C8E">
              <w:rPr>
                <w:color w:val="FF0000"/>
              </w:rPr>
              <w:t xml:space="preserve"> </w:t>
            </w:r>
            <w:hyperlink r:id="rId8" w:history="1"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="00F74C8E">
              <w:t xml:space="preserve"> или stefan.jevtic@czodo.rs</w:t>
            </w:r>
            <w:r w:rsidRPr="000C531A">
              <w:rPr>
                <w:iCs/>
                <w:lang w:val="sr-Cyrl-CS"/>
              </w:rPr>
              <w:t>,</w:t>
            </w:r>
            <w:r>
              <w:rPr>
                <w:iCs/>
                <w:lang w:val="sr-Cyrl-CS"/>
              </w:rPr>
              <w:t xml:space="preserve"> до </w:t>
            </w:r>
            <w:r w:rsidR="00EA1C3E">
              <w:rPr>
                <w:b/>
                <w:iCs/>
              </w:rPr>
              <w:t>22</w:t>
            </w:r>
            <w:r>
              <w:rPr>
                <w:b/>
                <w:iCs/>
                <w:lang w:val="sr-Cyrl-CS"/>
              </w:rPr>
              <w:t>.</w:t>
            </w:r>
            <w:r w:rsidR="00EA1C3E">
              <w:rPr>
                <w:b/>
                <w:iCs/>
              </w:rPr>
              <w:t>07</w:t>
            </w:r>
            <w:r>
              <w:rPr>
                <w:b/>
                <w:iCs/>
              </w:rPr>
              <w:t>.</w:t>
            </w:r>
            <w:r>
              <w:rPr>
                <w:b/>
                <w:iCs/>
                <w:lang w:val="sr-Cyrl-CS"/>
              </w:rPr>
              <w:t>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DC1560" w:rsidRDefault="00DC1560" w:rsidP="00DC1560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:rsidR="00DC1560" w:rsidRDefault="00EA1C3E" w:rsidP="00DC1560">
            <w:pPr>
              <w:jc w:val="both"/>
              <w:rPr>
                <w:iCs/>
              </w:rPr>
            </w:pPr>
            <w:r>
              <w:rPr>
                <w:b/>
                <w:iCs/>
              </w:rPr>
              <w:t>22</w:t>
            </w:r>
            <w:r w:rsidR="00DC1560"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07</w:t>
            </w:r>
            <w:r w:rsidR="00DC1560">
              <w:rPr>
                <w:b/>
                <w:iCs/>
                <w:lang w:val="sr-Cyrl-CS"/>
              </w:rPr>
              <w:t>.202</w:t>
            </w:r>
            <w:r w:rsidR="00DC1560">
              <w:rPr>
                <w:b/>
                <w:iCs/>
              </w:rPr>
              <w:t>2</w:t>
            </w:r>
            <w:r w:rsidR="00DC1560">
              <w:rPr>
                <w:iCs/>
                <w:lang w:val="sr-Cyrl-CS"/>
              </w:rPr>
              <w:t>.</w:t>
            </w:r>
            <w:r w:rsidR="00DC1560">
              <w:rPr>
                <w:b/>
                <w:iCs/>
                <w:lang w:val="sr-Cyrl-CS"/>
              </w:rPr>
              <w:t xml:space="preserve"> године до 1</w:t>
            </w:r>
            <w:r w:rsidR="00DC1560">
              <w:rPr>
                <w:b/>
                <w:iCs/>
              </w:rPr>
              <w:t>0</w:t>
            </w:r>
            <w:r w:rsidR="00DC1560">
              <w:rPr>
                <w:b/>
                <w:iCs/>
                <w:lang w:val="sr-Cyrl-CS"/>
              </w:rPr>
              <w:t>:00 часова</w:t>
            </w:r>
            <w:r w:rsidR="00DC1560">
              <w:rPr>
                <w:iCs/>
                <w:lang w:val="sr-Cyrl-CS"/>
              </w:rPr>
              <w:t>.</w:t>
            </w:r>
          </w:p>
          <w:p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 Понуда која је примљена после</w:t>
            </w:r>
            <w:r>
              <w:rPr>
                <w:b/>
                <w:iCs/>
                <w:lang w:val="sr-Cyrl-CS"/>
              </w:rPr>
              <w:t xml:space="preserve"> </w:t>
            </w: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 xml:space="preserve">:00 часова </w:t>
            </w:r>
            <w:r w:rsidR="004C297B">
              <w:rPr>
                <w:b/>
                <w:iCs/>
              </w:rPr>
              <w:t>22</w:t>
            </w:r>
            <w:r w:rsidR="00EA1C3E">
              <w:rPr>
                <w:b/>
                <w:iCs/>
                <w:lang w:val="sr-Cyrl-CS"/>
              </w:rPr>
              <w:t>.07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. године,</w:t>
            </w:r>
            <w:r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:rsidR="00106412" w:rsidRPr="00D4086B" w:rsidRDefault="00DC1560" w:rsidP="00DC156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Рок за подношење понуде је </w:t>
            </w:r>
            <w:r w:rsidR="00EA1C3E">
              <w:rPr>
                <w:iCs/>
              </w:rPr>
              <w:t>3</w:t>
            </w:r>
            <w:r>
              <w:rPr>
                <w:b/>
                <w:iCs/>
                <w:lang w:val="sr-Cyrl-CS"/>
              </w:rPr>
              <w:t xml:space="preserve"> дана</w:t>
            </w:r>
            <w:r>
              <w:rPr>
                <w:iCs/>
                <w:lang w:val="sr-Cyrl-CS"/>
              </w:rPr>
              <w:t xml:space="preserve"> од дана </w:t>
            </w:r>
            <w:r>
              <w:rPr>
                <w:rStyle w:val="Emphasis"/>
              </w:rPr>
              <w:t>када је позив за подношење понуда послат понуђачима</w:t>
            </w:r>
            <w:r>
              <w:rPr>
                <w:i/>
                <w:iCs/>
                <w:lang w:val="sr-Cyrl-CS"/>
              </w:rPr>
              <w:t>,</w:t>
            </w:r>
            <w:r>
              <w:rPr>
                <w:iCs/>
                <w:lang w:val="sr-Cyrl-CS"/>
              </w:rPr>
              <w:t xml:space="preserve"> односно до </w:t>
            </w:r>
            <w:r w:rsidR="00EA1C3E">
              <w:rPr>
                <w:b/>
                <w:iCs/>
              </w:rPr>
              <w:t>22</w:t>
            </w:r>
            <w:r>
              <w:rPr>
                <w:b/>
                <w:iCs/>
                <w:lang w:val="sr-Cyrl-CS"/>
              </w:rPr>
              <w:t>.</w:t>
            </w:r>
            <w:r w:rsidR="00EA1C3E">
              <w:rPr>
                <w:b/>
                <w:iCs/>
              </w:rPr>
              <w:t>07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</w:tc>
      </w:tr>
      <w:tr w:rsidR="00106412" w:rsidRPr="00D4086B" w:rsidTr="00543A1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D4086B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D4086B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B91884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</w:t>
            </w:r>
            <w:r w:rsidRPr="00DC1560">
              <w:rPr>
                <w:rFonts w:asciiTheme="majorHAnsi" w:hAnsiTheme="majorHAnsi"/>
                <w:iCs/>
                <w:lang w:val="sr-Cyrl-CS"/>
              </w:rPr>
              <w:t xml:space="preserve">одржано </w:t>
            </w:r>
            <w:r w:rsidR="00EA1C3E">
              <w:rPr>
                <w:rFonts w:asciiTheme="majorHAnsi" w:hAnsiTheme="majorHAnsi"/>
                <w:b/>
                <w:iCs/>
              </w:rPr>
              <w:t>22</w:t>
            </w:r>
            <w:r w:rsidR="00EA1C3E">
              <w:rPr>
                <w:rFonts w:asciiTheme="majorHAnsi" w:hAnsiTheme="majorHAnsi"/>
                <w:b/>
                <w:iCs/>
                <w:lang w:val="sr-Cyrl-CS"/>
              </w:rPr>
              <w:t>.07</w:t>
            </w:r>
            <w:r w:rsidR="005A5DD7" w:rsidRPr="00DC1560">
              <w:rPr>
                <w:rFonts w:asciiTheme="majorHAnsi" w:hAnsiTheme="majorHAnsi"/>
                <w:b/>
                <w:iCs/>
                <w:lang w:val="sr-Cyrl-CS"/>
              </w:rPr>
              <w:t>.2022</w:t>
            </w:r>
            <w:r w:rsidRPr="00DC1560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DC1560">
              <w:rPr>
                <w:rFonts w:asciiTheme="majorHAnsi" w:hAnsiTheme="majorHAnsi"/>
                <w:b/>
                <w:iCs/>
              </w:rPr>
              <w:t>0</w:t>
            </w:r>
            <w:r w:rsidRPr="00DC1560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DC1560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106412" w:rsidRPr="00D4086B" w:rsidTr="00543A1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9874A5">
              <w:rPr>
                <w:rFonts w:asciiTheme="majorHAnsi" w:hAnsiTheme="majorHAnsi"/>
                <w:iCs/>
              </w:rPr>
              <w:t>1</w:t>
            </w:r>
            <w:r w:rsidR="00C21035">
              <w:rPr>
                <w:rFonts w:asciiTheme="majorHAnsi" w:hAnsiTheme="majorHAnsi"/>
                <w:iCs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>дана од дана отварања понуда.</w:t>
            </w: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106412" w:rsidRPr="00D4086B" w:rsidTr="00543A1E">
        <w:trPr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C8E" w:rsidRDefault="00001F74" w:rsidP="00F74C8E">
            <w:pPr>
              <w:jc w:val="both"/>
            </w:pPr>
            <w:hyperlink r:id="rId9" w:history="1"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="00F74C8E">
              <w:t xml:space="preserve"> </w:t>
            </w:r>
          </w:p>
          <w:p w:rsidR="00106412" w:rsidRPr="00D4086B" w:rsidRDefault="00F74C8E" w:rsidP="00F74C8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>
              <w:t>stefan.jevtic@czodo.rs</w:t>
            </w: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5A2784" w:rsidRDefault="005A2784" w:rsidP="00B14A83">
      <w:pPr>
        <w:spacing w:line="200" w:lineRule="exact"/>
        <w:rPr>
          <w:rFonts w:asciiTheme="majorHAnsi" w:hAnsiTheme="majorHAnsi"/>
        </w:rPr>
      </w:pPr>
    </w:p>
    <w:p w:rsidR="005A2784" w:rsidRPr="00D4086B" w:rsidRDefault="005A2784" w:rsidP="00B14A83">
      <w:pPr>
        <w:spacing w:line="200" w:lineRule="exact"/>
        <w:rPr>
          <w:rFonts w:asciiTheme="majorHAnsi" w:hAnsiTheme="majorHAnsi"/>
        </w:rPr>
      </w:pPr>
    </w:p>
    <w:p w:rsidR="00657672" w:rsidRDefault="00657672" w:rsidP="00B14A83">
      <w:pPr>
        <w:spacing w:before="4" w:line="80" w:lineRule="exact"/>
        <w:rPr>
          <w:rFonts w:asciiTheme="majorHAnsi" w:hAnsiTheme="majorHAnsi"/>
        </w:rPr>
      </w:pPr>
    </w:p>
    <w:p w:rsidR="005A2784" w:rsidRDefault="005A2784" w:rsidP="00765170">
      <w:pPr>
        <w:spacing w:after="200" w:line="276" w:lineRule="auto"/>
        <w:rPr>
          <w:rFonts w:asciiTheme="majorHAnsi" w:hAnsiTheme="majorHAnsi"/>
        </w:rPr>
      </w:pPr>
    </w:p>
    <w:p w:rsidR="00755E31" w:rsidRPr="00D4086B" w:rsidRDefault="00755E31" w:rsidP="00755E31">
      <w:pPr>
        <w:spacing w:after="200" w:line="276" w:lineRule="auto"/>
        <w:ind w:left="2520" w:firstLine="360"/>
        <w:rPr>
          <w:rFonts w:asciiTheme="majorHAnsi" w:hAnsiTheme="majorHAnsi"/>
          <w:bCs/>
          <w:iCs/>
          <w:noProof/>
        </w:rPr>
      </w:pPr>
      <w:r w:rsidRPr="00D4086B">
        <w:rPr>
          <w:rFonts w:asciiTheme="majorHAnsi" w:hAnsiTheme="majorHAnsi"/>
          <w:bCs/>
          <w:iCs/>
          <w:noProof/>
        </w:rPr>
        <w:lastRenderedPageBreak/>
        <w:t>ОБРАЗАЦ ПОНУДЕ</w:t>
      </w:r>
    </w:p>
    <w:p w:rsidR="00EA1C3E" w:rsidRDefault="00755E31" w:rsidP="00EA1C3E">
      <w:pPr>
        <w:jc w:val="both"/>
        <w:rPr>
          <w:rFonts w:ascii="Cambria" w:hAnsi="Cambria"/>
          <w:iCs/>
          <w:lang w:val="sr-Cyrl-CS"/>
        </w:rPr>
      </w:pP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Понуда бр.______ од _________ за поступак набавке </w:t>
      </w:r>
      <w:r w:rsidR="00301439"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путем наруџбенице, </w:t>
      </w: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 </w:t>
      </w:r>
      <w:r w:rsidR="00EA1C3E">
        <w:rPr>
          <w:rFonts w:asciiTheme="majorHAnsi" w:eastAsia="TimesNewRomanPS-BoldMT" w:hAnsiTheme="majorHAnsi"/>
          <w:bCs/>
          <w:noProof/>
          <w:color w:val="000000"/>
        </w:rPr>
        <w:t xml:space="preserve">набавка </w:t>
      </w:r>
      <w:r w:rsidRPr="00D4086B">
        <w:rPr>
          <w:rFonts w:asciiTheme="majorHAnsi" w:eastAsia="TimesNewRomanPS-BoldMT" w:hAnsiTheme="majorHAnsi"/>
          <w:bCs/>
          <w:noProof/>
          <w:color w:val="000000"/>
        </w:rPr>
        <w:t>услуга-</w:t>
      </w:r>
      <w:r w:rsidR="00EA1C3E" w:rsidRPr="00EA1C3E">
        <w:rPr>
          <w:rFonts w:ascii="Cambria" w:eastAsia="Calibri" w:hAnsi="Cambria"/>
          <w:color w:val="000000"/>
        </w:rPr>
        <w:t xml:space="preserve"> </w:t>
      </w:r>
      <w:r w:rsidR="00EA1C3E" w:rsidRPr="00156B20">
        <w:rPr>
          <w:rFonts w:ascii="Cambria" w:eastAsia="Calibri" w:hAnsi="Cambria"/>
          <w:color w:val="000000"/>
        </w:rPr>
        <w:t>Услуга</w:t>
      </w:r>
      <w:r w:rsidR="00EA1C3E">
        <w:rPr>
          <w:rFonts w:ascii="Cambria" w:eastAsia="Calibri" w:hAnsi="Cambria"/>
          <w:color w:val="000000"/>
        </w:rPr>
        <w:t xml:space="preserve"> тестирања физичких мрежних конекција ФЛУКЕ апаратом </w:t>
      </w:r>
      <w:r w:rsidR="00EA1C3E"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301439" w:rsidRPr="00D4086B" w:rsidRDefault="00C94FB9" w:rsidP="00755E31">
      <w:pPr>
        <w:spacing w:after="200" w:line="276" w:lineRule="auto"/>
        <w:rPr>
          <w:rFonts w:asciiTheme="majorHAnsi" w:hAnsiTheme="majorHAnsi"/>
          <w:iCs/>
          <w:lang w:val="sr-Cyrl-CS"/>
        </w:rPr>
      </w:pPr>
      <w:r w:rsidRPr="00D4086B">
        <w:rPr>
          <w:rFonts w:asciiTheme="majorHAnsi" w:hAnsiTheme="majorHAnsi"/>
          <w:iCs/>
          <w:lang w:val="sr-Cyrl-CS"/>
        </w:rPr>
        <w:t>.</w:t>
      </w: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 xml:space="preserve">Табела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55E31" w:rsidRPr="00D4086B" w:rsidTr="00A3788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ПОДАЦИ О ПОНУЂАЧУ</w:t>
            </w: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Адреса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Име особе за контакт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e-mail: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Телефон: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Телефакс: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Порески број понуђача (ПИБ):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Матични број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Шифра делатности: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банке и број рачуна: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Лице овлашћено за потписивање уговора: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</w:tbl>
    <w:p w:rsidR="00D4086B" w:rsidRPr="00516AE9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u w:val="single"/>
        </w:rPr>
        <w:t>Понуду дајем:</w:t>
      </w:r>
      <w:r w:rsidRPr="00D4086B">
        <w:rPr>
          <w:rFonts w:asciiTheme="majorHAnsi" w:hAnsiTheme="majorHAnsi"/>
          <w:bCs/>
          <w:noProof/>
          <w:color w:val="000000"/>
        </w:rPr>
        <w:t xml:space="preserve"> (заокружити начин давања понуде и уписати податке под б) и в))</w:t>
      </w: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>Табела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4155"/>
        <w:gridCol w:w="4397"/>
      </w:tblGrid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А) САМОСТАЛНО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Б) СА ПОДИЗВОЂАЧЕМ</w:t>
            </w: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подизвођача: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lastRenderedPageBreak/>
              <w:t>В) КАО ЗАЈЕДНИЧКУ ПОНУДУ</w:t>
            </w: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lastRenderedPageBreak/>
              <w:t>1)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учесника у заједничкој понуди: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  <w:r w:rsidRPr="00D4086B">
              <w:rPr>
                <w:rFonts w:asciiTheme="majorHAnsi" w:hAnsiTheme="majorHAnsi"/>
                <w:bCs/>
                <w:noProof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</w:tbl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</w:rPr>
      </w:pPr>
      <w:r w:rsidRPr="00D4086B">
        <w:rPr>
          <w:rFonts w:asciiTheme="majorHAnsi" w:hAnsiTheme="majorHAnsi"/>
          <w:bCs/>
          <w:noProof/>
          <w:u w:val="single"/>
        </w:rPr>
        <w:t>Напомена:</w:t>
      </w:r>
      <w:r w:rsidRPr="00D4086B">
        <w:rPr>
          <w:rFonts w:asciiTheme="majorHAnsi" w:hAnsiTheme="majorHAnsi"/>
          <w:bCs/>
          <w:noProof/>
          <w:color w:val="000000"/>
        </w:rPr>
        <w:t xml:space="preserve"> - Уколико има више подизвођача или учесника у заједничкој понуди него што има места у табели 2. потребно је копирати табелу 2. и попунити податке за све подизвођаче или учеснике у заједничкој понуди.</w:t>
      </w:r>
    </w:p>
    <w:p w:rsidR="00D4086B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Уколико група понуђача подноси заједничку понуду табелу 1. „ПОДАЦИ О ПОНУЂАЧУ“ треба са својим подацима да попуни носилац посла, док податке о осталим учесницима у заједничкој понуди треба навести у табели 2. овог обрасца. </w:t>
      </w:r>
    </w:p>
    <w:tbl>
      <w:tblPr>
        <w:tblW w:w="104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0"/>
        <w:gridCol w:w="6600"/>
      </w:tblGrid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EA1C3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 xml:space="preserve">Укупна цена без ПДВ-а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1" w:rsidRPr="00D4086B" w:rsidRDefault="00755E31" w:rsidP="00755E31">
            <w:pPr>
              <w:jc w:val="center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........................ динара без ПДВ-а</w:t>
            </w:r>
          </w:p>
        </w:tc>
      </w:tr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Рок и начин плаћања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у року од  45</w:t>
            </w:r>
            <w:r w:rsidR="005A5DD7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</w:rPr>
              <w:t>дана  од пријема испостављене исправнe  фактуре (рачуна)</w:t>
            </w:r>
          </w:p>
        </w:tc>
      </w:tr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Важност понуде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___________ дана од дана отварања понуда 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(најмање </w:t>
            </w:r>
            <w:r w:rsidRPr="00D4086B">
              <w:rPr>
                <w:rFonts w:asciiTheme="majorHAnsi" w:hAnsiTheme="majorHAnsi"/>
                <w:bCs/>
                <w:noProof/>
              </w:rPr>
              <w:t>30 дана</w:t>
            </w:r>
            <w:r w:rsidR="00EA1C3E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од дана отварања понуда)</w:t>
            </w:r>
          </w:p>
        </w:tc>
      </w:tr>
    </w:tbl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Датум </w:t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Понуђач</w:t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Подизвођач</w:t>
      </w:r>
    </w:p>
    <w:p w:rsidR="00755E31" w:rsidRPr="00D4086B" w:rsidRDefault="00755E31" w:rsidP="00755E31">
      <w:pPr>
        <w:ind w:left="720"/>
        <w:jc w:val="right"/>
        <w:rPr>
          <w:rFonts w:asciiTheme="majorHAnsi" w:eastAsia="TimesNewRomanPS-BoldMT" w:hAnsiTheme="majorHAnsi"/>
          <w:bCs/>
          <w:iCs/>
          <w:noProof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М. П.</w:t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М. П.</w:t>
      </w:r>
    </w:p>
    <w:p w:rsidR="00755E31" w:rsidRPr="00D4086B" w:rsidRDefault="00755E31" w:rsidP="00755E31">
      <w:pPr>
        <w:ind w:left="720"/>
        <w:rPr>
          <w:rFonts w:asciiTheme="majorHAnsi" w:eastAsia="TimesNewRomanPS-BoldMT" w:hAnsiTheme="majorHAnsi"/>
          <w:bCs/>
          <w:i/>
          <w:iCs/>
          <w:noProof/>
          <w:color w:val="002060"/>
        </w:rPr>
      </w:pP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>_____________________________</w:t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  <w:t>________________________________</w:t>
      </w: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  <w:r w:rsidRPr="008832B1">
        <w:rPr>
          <w:rFonts w:asciiTheme="majorHAnsi" w:hAnsiTheme="majorHAnsi"/>
          <w:b/>
          <w:noProof/>
        </w:rPr>
        <w:lastRenderedPageBreak/>
        <w:t>ОПИС НАБАВКЕ</w:t>
      </w:r>
    </w:p>
    <w:p w:rsidR="00C2687C" w:rsidRPr="00EA1C3E" w:rsidRDefault="00C2687C" w:rsidP="00C2687C">
      <w:pPr>
        <w:spacing w:after="200" w:line="276" w:lineRule="auto"/>
        <w:rPr>
          <w:rFonts w:asciiTheme="majorHAnsi" w:hAnsiTheme="majorHAnsi"/>
          <w:b/>
          <w:bCs/>
          <w:iCs/>
          <w:noProof/>
        </w:rPr>
      </w:pPr>
      <w:r>
        <w:rPr>
          <w:rFonts w:asciiTheme="majorHAnsi" w:hAnsiTheme="majorHAnsi"/>
          <w:b/>
          <w:noProof/>
        </w:rPr>
        <w:t xml:space="preserve">Центар за заштиту одојчади, деце и омладине </w:t>
      </w:r>
      <w:r w:rsidR="00EF67A7">
        <w:rPr>
          <w:rFonts w:asciiTheme="majorHAnsi" w:hAnsiTheme="majorHAnsi"/>
          <w:b/>
          <w:noProof/>
        </w:rPr>
        <w:t>имао је потребу за тестирањем  Ф</w:t>
      </w:r>
      <w:r>
        <w:rPr>
          <w:rFonts w:asciiTheme="majorHAnsi" w:hAnsiTheme="majorHAnsi"/>
          <w:b/>
          <w:noProof/>
        </w:rPr>
        <w:t>луке апаратом због проблема који се десио са мрежом на новом</w:t>
      </w:r>
      <w:r w:rsidR="00EF67A7">
        <w:rPr>
          <w:rFonts w:asciiTheme="majorHAnsi" w:hAnsiTheme="majorHAnsi"/>
          <w:b/>
          <w:noProof/>
        </w:rPr>
        <w:t xml:space="preserve"> објекту Материнског </w:t>
      </w:r>
      <w:r>
        <w:rPr>
          <w:rFonts w:asciiTheme="majorHAnsi" w:hAnsiTheme="majorHAnsi"/>
          <w:b/>
          <w:noProof/>
        </w:rPr>
        <w:t xml:space="preserve"> дом</w:t>
      </w:r>
      <w:r w:rsidR="00EF67A7">
        <w:rPr>
          <w:rFonts w:asciiTheme="majorHAnsi" w:hAnsiTheme="majorHAnsi"/>
          <w:b/>
          <w:noProof/>
        </w:rPr>
        <w:t>а</w:t>
      </w:r>
      <w:r>
        <w:rPr>
          <w:rFonts w:asciiTheme="majorHAnsi" w:hAnsiTheme="majorHAnsi"/>
          <w:b/>
          <w:noProof/>
        </w:rPr>
        <w:t>.</w:t>
      </w:r>
    </w:p>
    <w:p w:rsidR="00C2687C" w:rsidRPr="00D4086B" w:rsidRDefault="00C2687C" w:rsidP="00C2687C">
      <w:pPr>
        <w:spacing w:after="200" w:line="276" w:lineRule="auto"/>
        <w:rPr>
          <w:rFonts w:asciiTheme="majorHAnsi" w:hAnsiTheme="majorHAnsi"/>
          <w:noProof/>
          <w:color w:val="00B0F0"/>
        </w:rPr>
      </w:pPr>
      <w:r w:rsidRPr="00D4086B">
        <w:rPr>
          <w:rFonts w:asciiTheme="majorHAnsi" w:hAnsiTheme="majorHAnsi"/>
          <w:noProof/>
          <w:color w:val="00B0F0"/>
          <w:lang w:val="sr-Cyrl-CS"/>
        </w:rPr>
        <w:t>ОБРАЗАЦ СТРУКТУРЕ ПОНУЂЕНЕ ЦЕНЕ СА УПУТСТВОМ КАКО ДА СЕ ПОПУНИ</w:t>
      </w:r>
    </w:p>
    <w:tbl>
      <w:tblPr>
        <w:tblpPr w:leftFromText="180" w:rightFromText="180" w:vertAnchor="text" w:horzAnchor="margin" w:tblpXSpec="center" w:tblpY="208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487"/>
        <w:gridCol w:w="1494"/>
        <w:gridCol w:w="1992"/>
        <w:gridCol w:w="1079"/>
        <w:gridCol w:w="2427"/>
      </w:tblGrid>
      <w:tr w:rsidR="00C2687C" w:rsidRPr="00D4086B" w:rsidTr="00E37B79">
        <w:trPr>
          <w:trHeight w:val="542"/>
        </w:trPr>
        <w:tc>
          <w:tcPr>
            <w:tcW w:w="581" w:type="dxa"/>
          </w:tcPr>
          <w:p w:rsidR="00C2687C" w:rsidRPr="00D4086B" w:rsidRDefault="00C2687C" w:rsidP="00E37B79">
            <w:pPr>
              <w:spacing w:after="200" w:line="276" w:lineRule="auto"/>
              <w:rPr>
                <w:rFonts w:asciiTheme="majorHAnsi" w:hAnsiTheme="majorHAnsi"/>
                <w:noProof/>
                <w:color w:val="00B0F0"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color w:val="00B0F0"/>
                <w:lang w:val="sr-Cyrl-CS"/>
              </w:rPr>
              <w:t>*</w:t>
            </w:r>
          </w:p>
        </w:tc>
        <w:tc>
          <w:tcPr>
            <w:tcW w:w="3487" w:type="dxa"/>
          </w:tcPr>
          <w:p w:rsidR="00C2687C" w:rsidRPr="00D4086B" w:rsidRDefault="00C2687C" w:rsidP="00E37B79">
            <w:pPr>
              <w:rPr>
                <w:rFonts w:asciiTheme="majorHAnsi" w:hAnsiTheme="majorHAnsi"/>
                <w:noProof/>
              </w:rPr>
            </w:pPr>
          </w:p>
          <w:p w:rsidR="00C2687C" w:rsidRPr="00D4086B" w:rsidRDefault="00C2687C" w:rsidP="00E37B79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Предмет набавке</w:t>
            </w:r>
          </w:p>
        </w:tc>
        <w:tc>
          <w:tcPr>
            <w:tcW w:w="1494" w:type="dxa"/>
          </w:tcPr>
          <w:p w:rsidR="00C2687C" w:rsidRPr="00D4086B" w:rsidRDefault="00C2687C" w:rsidP="00E37B79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Количина</w:t>
            </w:r>
          </w:p>
        </w:tc>
        <w:tc>
          <w:tcPr>
            <w:tcW w:w="1992" w:type="dxa"/>
          </w:tcPr>
          <w:p w:rsidR="00C2687C" w:rsidRPr="00D4086B" w:rsidRDefault="00C2687C" w:rsidP="00EF67A7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 xml:space="preserve">Цена </w:t>
            </w:r>
            <w:r w:rsidRPr="00D4086B">
              <w:rPr>
                <w:rFonts w:asciiTheme="majorHAnsi" w:hAnsiTheme="majorHAnsi"/>
                <w:noProof/>
              </w:rPr>
              <w:t>без ПДВ-а</w:t>
            </w:r>
          </w:p>
        </w:tc>
        <w:tc>
          <w:tcPr>
            <w:tcW w:w="1079" w:type="dxa"/>
          </w:tcPr>
          <w:p w:rsidR="00C2687C" w:rsidRPr="00D4086B" w:rsidRDefault="00C2687C" w:rsidP="00E37B79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ПДВ</w:t>
            </w:r>
          </w:p>
        </w:tc>
        <w:tc>
          <w:tcPr>
            <w:tcW w:w="2427" w:type="dxa"/>
          </w:tcPr>
          <w:p w:rsidR="00C2687C" w:rsidRPr="00D4086B" w:rsidRDefault="00C2687C" w:rsidP="00EF67A7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Цена са ПДВ-ом</w:t>
            </w:r>
          </w:p>
        </w:tc>
      </w:tr>
      <w:tr w:rsidR="00C2687C" w:rsidRPr="00D4086B" w:rsidTr="00E37B79">
        <w:trPr>
          <w:trHeight w:val="512"/>
        </w:trPr>
        <w:tc>
          <w:tcPr>
            <w:tcW w:w="581" w:type="dxa"/>
          </w:tcPr>
          <w:p w:rsidR="00C2687C" w:rsidRPr="00D4086B" w:rsidRDefault="00C2687C" w:rsidP="00E37B79">
            <w:pPr>
              <w:spacing w:after="200" w:line="276" w:lineRule="auto"/>
              <w:rPr>
                <w:rFonts w:asciiTheme="majorHAnsi" w:hAnsiTheme="majorHAnsi"/>
                <w:noProof/>
                <w:color w:val="00B0F0"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color w:val="00B0F0"/>
                <w:lang w:val="sr-Cyrl-CS"/>
              </w:rPr>
              <w:t>*</w:t>
            </w:r>
          </w:p>
        </w:tc>
        <w:tc>
          <w:tcPr>
            <w:tcW w:w="3487" w:type="dxa"/>
          </w:tcPr>
          <w:p w:rsidR="00C2687C" w:rsidRPr="00D4086B" w:rsidRDefault="00C2687C" w:rsidP="00E37B79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</w:t>
            </w:r>
          </w:p>
        </w:tc>
        <w:tc>
          <w:tcPr>
            <w:tcW w:w="1494" w:type="dxa"/>
          </w:tcPr>
          <w:p w:rsidR="00C2687C" w:rsidRPr="00D4086B" w:rsidRDefault="00C2687C" w:rsidP="00E37B79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1992" w:type="dxa"/>
          </w:tcPr>
          <w:p w:rsidR="00C2687C" w:rsidRPr="00D4086B" w:rsidRDefault="00C2687C" w:rsidP="00E37B79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II</w:t>
            </w:r>
          </w:p>
        </w:tc>
        <w:tc>
          <w:tcPr>
            <w:tcW w:w="1079" w:type="dxa"/>
          </w:tcPr>
          <w:p w:rsidR="00C2687C" w:rsidRPr="00D4086B" w:rsidRDefault="00C2687C" w:rsidP="00E37B79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III</w:t>
            </w:r>
          </w:p>
        </w:tc>
        <w:tc>
          <w:tcPr>
            <w:tcW w:w="2427" w:type="dxa"/>
          </w:tcPr>
          <w:p w:rsidR="00C2687C" w:rsidRPr="00D4086B" w:rsidRDefault="00C2687C" w:rsidP="00E37B79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IV</w:t>
            </w:r>
          </w:p>
        </w:tc>
      </w:tr>
      <w:tr w:rsidR="00C2687C" w:rsidRPr="00D4086B" w:rsidTr="00DC02BF">
        <w:trPr>
          <w:trHeight w:val="855"/>
        </w:trPr>
        <w:tc>
          <w:tcPr>
            <w:tcW w:w="581" w:type="dxa"/>
          </w:tcPr>
          <w:p w:rsidR="00C2687C" w:rsidRPr="00D4086B" w:rsidRDefault="00C2687C" w:rsidP="00E37B79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>1.</w:t>
            </w:r>
          </w:p>
        </w:tc>
        <w:tc>
          <w:tcPr>
            <w:tcW w:w="3487" w:type="dxa"/>
          </w:tcPr>
          <w:p w:rsidR="00C2687C" w:rsidRDefault="00C2687C" w:rsidP="00E37B79">
            <w:pPr>
              <w:jc w:val="both"/>
              <w:rPr>
                <w:rFonts w:ascii="Cambria" w:hAnsi="Cambria"/>
                <w:iCs/>
                <w:lang w:val="sr-Cyrl-CS"/>
              </w:rPr>
            </w:pPr>
            <w:r w:rsidRPr="00156B20">
              <w:rPr>
                <w:rFonts w:ascii="Cambria" w:eastAsia="Calibri" w:hAnsi="Cambria"/>
                <w:color w:val="000000"/>
              </w:rPr>
              <w:t>Услуга</w:t>
            </w:r>
            <w:r>
              <w:rPr>
                <w:rFonts w:ascii="Cambria" w:eastAsia="Calibri" w:hAnsi="Cambria"/>
                <w:color w:val="000000"/>
              </w:rPr>
              <w:t xml:space="preserve"> тестирања физичких мрежних конекција ФЛУКЕ апаратом </w:t>
            </w:r>
            <w:r w:rsidRPr="00156B20">
              <w:rPr>
                <w:rFonts w:ascii="Cambria" w:hAnsi="Cambria"/>
                <w:iCs/>
                <w:lang w:val="sr-Cyrl-CS"/>
              </w:rPr>
              <w:t>за потребе Центра за заштиту одојчади, деце и омладине</w:t>
            </w:r>
          </w:p>
          <w:p w:rsidR="00C2687C" w:rsidRPr="00D4086B" w:rsidRDefault="00C2687C" w:rsidP="00E37B79">
            <w:pPr>
              <w:jc w:val="both"/>
              <w:rPr>
                <w:rFonts w:asciiTheme="majorHAnsi" w:hAnsiTheme="majorHAnsi"/>
                <w:noProof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2687C" w:rsidRPr="00D4086B" w:rsidRDefault="00C2687C" w:rsidP="00E37B79">
            <w:pPr>
              <w:jc w:val="right"/>
              <w:rPr>
                <w:rFonts w:asciiTheme="majorHAnsi" w:hAnsiTheme="majorHAnsi"/>
                <w:bCs/>
                <w:iCs/>
                <w:noProof/>
                <w:lang w:val="ru-RU"/>
              </w:rPr>
            </w:pPr>
            <w:r>
              <w:rPr>
                <w:rFonts w:asciiTheme="majorHAnsi" w:hAnsiTheme="majorHAnsi"/>
                <w:bCs/>
                <w:iCs/>
                <w:noProof/>
                <w:lang w:val="sr-Cyrl-CS"/>
              </w:rPr>
              <w:t>1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2687C" w:rsidRPr="00D4086B" w:rsidRDefault="00C2687C" w:rsidP="00E37B79">
            <w:pPr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2687C" w:rsidRPr="00D4086B" w:rsidRDefault="00C2687C" w:rsidP="00E37B79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2687C" w:rsidRPr="00D4086B" w:rsidRDefault="00C2687C" w:rsidP="00E37B79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</w:tr>
      <w:tr w:rsidR="00C2687C" w:rsidRPr="00D4086B" w:rsidTr="00DC02BF">
        <w:trPr>
          <w:trHeight w:val="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C" w:rsidRPr="00D4086B" w:rsidRDefault="00C2687C" w:rsidP="00E37B79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>
              <w:rPr>
                <w:rFonts w:asciiTheme="majorHAnsi" w:hAnsiTheme="majorHAnsi"/>
                <w:noProof/>
              </w:rPr>
              <w:t>2</w:t>
            </w:r>
            <w:r w:rsidRPr="00D4086B">
              <w:rPr>
                <w:rFonts w:asciiTheme="majorHAnsi" w:hAnsiTheme="majorHAnsi"/>
                <w:noProof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C" w:rsidRPr="00D4086B" w:rsidRDefault="00C2687C" w:rsidP="00E37B79">
            <w:pPr>
              <w:ind w:left="720"/>
              <w:jc w:val="both"/>
              <w:rPr>
                <w:rFonts w:asciiTheme="majorHAnsi" w:hAnsiTheme="majorHAnsi"/>
                <w:bCs/>
                <w:iCs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iCs/>
                <w:noProof/>
                <w:lang w:val="sr-Cyrl-CS"/>
              </w:rPr>
              <w:t>Укупна цена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87C" w:rsidRPr="00DC02BF" w:rsidRDefault="00C2687C" w:rsidP="00E37B79">
            <w:pPr>
              <w:jc w:val="right"/>
              <w:rPr>
                <w:rFonts w:asciiTheme="majorHAnsi" w:hAnsiTheme="majorHAnsi"/>
                <w:bCs/>
                <w:iCs/>
                <w:noProof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87C" w:rsidRPr="00D4086B" w:rsidRDefault="00C2687C" w:rsidP="00E37B79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87C" w:rsidRPr="00D4086B" w:rsidRDefault="00C2687C" w:rsidP="00E37B79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87C" w:rsidRPr="00D4086B" w:rsidRDefault="00C2687C" w:rsidP="00E37B79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</w:tr>
    </w:tbl>
    <w:p w:rsidR="00C2687C" w:rsidRPr="00D4086B" w:rsidRDefault="00C2687C" w:rsidP="00C2687C">
      <w:pPr>
        <w:widowControl w:val="0"/>
        <w:ind w:left="180"/>
        <w:rPr>
          <w:rFonts w:asciiTheme="majorHAnsi" w:eastAsia="SimSun" w:hAnsiTheme="majorHAnsi"/>
          <w:kern w:val="2"/>
          <w:lang w:eastAsia="zh-CN"/>
        </w:rPr>
      </w:pPr>
    </w:p>
    <w:p w:rsidR="00C2687C" w:rsidRPr="00D4086B" w:rsidRDefault="00C2687C" w:rsidP="00C2687C">
      <w:pPr>
        <w:ind w:left="720"/>
        <w:rPr>
          <w:rFonts w:asciiTheme="majorHAnsi" w:hAnsiTheme="majorHAnsi"/>
          <w:bCs/>
          <w:iCs/>
          <w:noProof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/>
      </w:tblPr>
      <w:tblGrid>
        <w:gridCol w:w="2922"/>
        <w:gridCol w:w="2136"/>
        <w:gridCol w:w="3708"/>
      </w:tblGrid>
      <w:tr w:rsidR="00C2687C" w:rsidRPr="00D4086B" w:rsidTr="00E37B79">
        <w:tc>
          <w:tcPr>
            <w:tcW w:w="2922" w:type="dxa"/>
          </w:tcPr>
          <w:p w:rsidR="00C2687C" w:rsidRPr="00D4086B" w:rsidRDefault="00C2687C" w:rsidP="00E37B79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Датум</w:t>
            </w:r>
          </w:p>
        </w:tc>
        <w:tc>
          <w:tcPr>
            <w:tcW w:w="2136" w:type="dxa"/>
          </w:tcPr>
          <w:p w:rsidR="00C2687C" w:rsidRPr="00D4086B" w:rsidRDefault="00C2687C" w:rsidP="00E37B79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Печат</w:t>
            </w:r>
          </w:p>
        </w:tc>
        <w:tc>
          <w:tcPr>
            <w:tcW w:w="3708" w:type="dxa"/>
          </w:tcPr>
          <w:p w:rsidR="00C2687C" w:rsidRPr="00D4086B" w:rsidRDefault="00C2687C" w:rsidP="00E37B79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Потпис одговорног лица</w:t>
            </w:r>
          </w:p>
        </w:tc>
      </w:tr>
    </w:tbl>
    <w:p w:rsidR="00C2687C" w:rsidRPr="00D4086B" w:rsidRDefault="00C2687C" w:rsidP="00C2687C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C2687C" w:rsidRPr="00D4086B" w:rsidRDefault="00C2687C" w:rsidP="00C2687C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</w:p>
    <w:p w:rsidR="00C2687C" w:rsidRPr="00D4086B" w:rsidRDefault="00C2687C" w:rsidP="00C2687C">
      <w:pPr>
        <w:spacing w:after="200" w:line="276" w:lineRule="auto"/>
        <w:rPr>
          <w:rFonts w:asciiTheme="majorHAnsi" w:hAnsiTheme="majorHAnsi"/>
          <w:bCs/>
          <w:iCs/>
          <w:noProof/>
        </w:rPr>
      </w:pPr>
    </w:p>
    <w:p w:rsidR="00755E31" w:rsidRPr="00516AE9" w:rsidRDefault="00516AE9" w:rsidP="00516AE9">
      <w:pPr>
        <w:ind w:left="720"/>
        <w:rPr>
          <w:rFonts w:asciiTheme="majorHAnsi" w:eastAsia="TimesNewRomanPS-BoldMT" w:hAnsiTheme="majorHAnsi"/>
          <w:bCs/>
          <w:iCs/>
          <w:noProof/>
          <w:lang w:val="sr-Cyrl-CS"/>
        </w:rPr>
      </w:pPr>
      <w:r>
        <w:rPr>
          <w:rFonts w:asciiTheme="majorHAnsi" w:eastAsia="TimesNewRomanPS-BoldMT" w:hAnsiTheme="majorHAnsi"/>
          <w:bCs/>
          <w:iCs/>
          <w:noProof/>
        </w:rPr>
        <w:tab/>
      </w:r>
      <w:r>
        <w:rPr>
          <w:rFonts w:asciiTheme="majorHAnsi" w:eastAsia="TimesNewRomanPS-BoldMT" w:hAnsiTheme="majorHAnsi"/>
          <w:bCs/>
          <w:iCs/>
          <w:noProof/>
        </w:rPr>
        <w:tab/>
      </w:r>
    </w:p>
    <w:p w:rsidR="008843A5" w:rsidRPr="00FB0983" w:rsidRDefault="008843A5" w:rsidP="008843A5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:rsidR="008843A5" w:rsidRPr="008843A5" w:rsidRDefault="008843A5" w:rsidP="008843A5">
      <w:pPr>
        <w:jc w:val="both"/>
        <w:rPr>
          <w:rFonts w:asciiTheme="majorHAnsi" w:eastAsia="TimesNewRomanPS-BoldMT" w:hAnsiTheme="majorHAnsi"/>
          <w:bCs/>
          <w:iCs/>
          <w:noProof/>
        </w:rPr>
      </w:pPr>
      <w:r w:rsidRPr="008843A5">
        <w:rPr>
          <w:rFonts w:asciiTheme="majorHAnsi" w:eastAsia="TimesNewRomanPS-BoldMT" w:hAnsiTheme="majorHAnsi"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:rsidR="008843A5" w:rsidRPr="008843A5" w:rsidRDefault="008843A5" w:rsidP="008843A5">
      <w:pPr>
        <w:jc w:val="both"/>
        <w:rPr>
          <w:rFonts w:asciiTheme="majorHAnsi" w:eastAsia="TimesNewRomanPS-BoldMT" w:hAnsiTheme="majorHAnsi"/>
          <w:bCs/>
          <w:iCs/>
          <w:noProof/>
        </w:rPr>
      </w:pPr>
      <w:r w:rsidRPr="008843A5">
        <w:rPr>
          <w:rFonts w:asciiTheme="majorHAnsi" w:eastAsia="TimesNewRomanPS-BoldMT" w:hAnsiTheme="majorHAnsi"/>
          <w:bCs/>
          <w:iCs/>
          <w:noProof/>
        </w:rPr>
        <w:t xml:space="preserve">Понуђена укупна цена за предметну услугу не може прећи процењену вредност набавке, која износи </w:t>
      </w:r>
      <w:r w:rsidR="00647345">
        <w:rPr>
          <w:rFonts w:asciiTheme="majorHAnsi" w:eastAsia="TimesNewRomanPS-BoldMT" w:hAnsiTheme="majorHAnsi"/>
          <w:bCs/>
          <w:iCs/>
          <w:noProof/>
        </w:rPr>
        <w:t>350</w:t>
      </w:r>
      <w:r w:rsidRPr="008843A5">
        <w:rPr>
          <w:rFonts w:asciiTheme="majorHAnsi" w:eastAsia="TimesNewRomanPS-BoldMT" w:hAnsiTheme="majorHAnsi"/>
          <w:bCs/>
          <w:iCs/>
          <w:noProof/>
        </w:rPr>
        <w:t xml:space="preserve">.000,00 динара без ПДВ-а, односно </w:t>
      </w:r>
      <w:r w:rsidR="00647345">
        <w:rPr>
          <w:rFonts w:asciiTheme="majorHAnsi" w:eastAsia="TimesNewRomanPS-BoldMT" w:hAnsiTheme="majorHAnsi"/>
          <w:bCs/>
          <w:iCs/>
          <w:noProof/>
        </w:rPr>
        <w:t>420</w:t>
      </w:r>
      <w:r w:rsidRPr="008843A5">
        <w:rPr>
          <w:rFonts w:asciiTheme="majorHAnsi" w:eastAsia="TimesNewRomanPS-BoldMT" w:hAnsiTheme="majorHAnsi"/>
          <w:bCs/>
          <w:iCs/>
          <w:noProof/>
        </w:rPr>
        <w:t>.000,00 са ПДВ-ом.</w:t>
      </w:r>
      <w:r w:rsidR="00755E31" w:rsidRPr="008843A5">
        <w:rPr>
          <w:rFonts w:asciiTheme="majorHAnsi" w:eastAsia="TimesNewRomanPS-BoldMT" w:hAnsiTheme="majorHAnsi"/>
          <w:bCs/>
          <w:iCs/>
          <w:noProof/>
        </w:rPr>
        <w:t xml:space="preserve"> Образац понуде је потребно попунити.</w:t>
      </w:r>
    </w:p>
    <w:p w:rsidR="008843A5" w:rsidRDefault="00755E31" w:rsidP="008843A5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755E31" w:rsidRPr="008843A5" w:rsidRDefault="00755E31" w:rsidP="008843A5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516AE9" w:rsidRPr="00516AE9" w:rsidRDefault="00516AE9" w:rsidP="008843A5">
      <w:pPr>
        <w:jc w:val="both"/>
        <w:rPr>
          <w:rFonts w:asciiTheme="majorHAnsi" w:eastAsia="TimesNewRomanPS-BoldMT" w:hAnsiTheme="majorHAnsi"/>
          <w:bCs/>
          <w:iCs/>
          <w:noProof/>
        </w:rPr>
      </w:pPr>
      <w:r>
        <w:rPr>
          <w:rFonts w:asciiTheme="majorHAnsi" w:eastAsia="TimesNewRomanPS-BoldMT" w:hAnsiTheme="majorHAnsi"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:rsidR="004A64D6" w:rsidRPr="00D4086B" w:rsidRDefault="004A64D6" w:rsidP="004A64D6">
      <w:pPr>
        <w:widowControl w:val="0"/>
        <w:ind w:left="180" w:firstLine="180"/>
        <w:rPr>
          <w:rFonts w:asciiTheme="majorHAnsi" w:eastAsia="SimSun" w:hAnsiTheme="majorHAnsi"/>
          <w:kern w:val="2"/>
          <w:lang w:eastAsia="zh-CN"/>
        </w:rPr>
      </w:pPr>
    </w:p>
    <w:sectPr w:rsidR="004A64D6" w:rsidRPr="00D4086B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88" w:rsidRDefault="005E3788">
      <w:r>
        <w:separator/>
      </w:r>
    </w:p>
  </w:endnote>
  <w:endnote w:type="continuationSeparator" w:id="1">
    <w:p w:rsidR="005E3788" w:rsidRDefault="005E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88" w:rsidRDefault="005E3788">
      <w:r>
        <w:separator/>
      </w:r>
    </w:p>
  </w:footnote>
  <w:footnote w:type="continuationSeparator" w:id="1">
    <w:p w:rsidR="005E3788" w:rsidRDefault="005E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001F7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333459D"/>
    <w:multiLevelType w:val="multilevel"/>
    <w:tmpl w:val="B17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D2564"/>
    <w:multiLevelType w:val="hybridMultilevel"/>
    <w:tmpl w:val="703ADC0A"/>
    <w:lvl w:ilvl="0" w:tplc="C88074A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w w:val="93"/>
        <w:u w:val="none"/>
      </w:rPr>
    </w:lvl>
    <w:lvl w:ilvl="1" w:tplc="FAD8E9B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SimSu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D224A"/>
    <w:multiLevelType w:val="hybridMultilevel"/>
    <w:tmpl w:val="E57C6BBC"/>
    <w:lvl w:ilvl="0" w:tplc="3E1660C6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16"/>
  </w:num>
  <w:num w:numId="17">
    <w:abstractNumId w:val="1"/>
  </w:num>
  <w:num w:numId="18">
    <w:abstractNumId w:val="17"/>
  </w:num>
  <w:num w:numId="19">
    <w:abstractNumId w:val="18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1F74"/>
    <w:rsid w:val="00007A93"/>
    <w:rsid w:val="0001377D"/>
    <w:rsid w:val="00015CC9"/>
    <w:rsid w:val="000177D5"/>
    <w:rsid w:val="00017D4D"/>
    <w:rsid w:val="00035539"/>
    <w:rsid w:val="00046674"/>
    <w:rsid w:val="00053B7A"/>
    <w:rsid w:val="0006353D"/>
    <w:rsid w:val="00080FD9"/>
    <w:rsid w:val="00081211"/>
    <w:rsid w:val="0008188B"/>
    <w:rsid w:val="00094C01"/>
    <w:rsid w:val="000974EC"/>
    <w:rsid w:val="000A2F0E"/>
    <w:rsid w:val="000B49C0"/>
    <w:rsid w:val="000D0EB9"/>
    <w:rsid w:val="000D2AC8"/>
    <w:rsid w:val="000E5137"/>
    <w:rsid w:val="000F41C2"/>
    <w:rsid w:val="00106412"/>
    <w:rsid w:val="00110210"/>
    <w:rsid w:val="00111FA6"/>
    <w:rsid w:val="00114472"/>
    <w:rsid w:val="00131D25"/>
    <w:rsid w:val="00134DEE"/>
    <w:rsid w:val="001353D0"/>
    <w:rsid w:val="00141185"/>
    <w:rsid w:val="001429D2"/>
    <w:rsid w:val="00145C20"/>
    <w:rsid w:val="00155C06"/>
    <w:rsid w:val="001566AC"/>
    <w:rsid w:val="00161E1D"/>
    <w:rsid w:val="0016569A"/>
    <w:rsid w:val="001735BF"/>
    <w:rsid w:val="00173C6F"/>
    <w:rsid w:val="00175328"/>
    <w:rsid w:val="001770AD"/>
    <w:rsid w:val="001873C3"/>
    <w:rsid w:val="001A3C8E"/>
    <w:rsid w:val="001D5614"/>
    <w:rsid w:val="001D6354"/>
    <w:rsid w:val="001E69DD"/>
    <w:rsid w:val="001F58AD"/>
    <w:rsid w:val="00204A22"/>
    <w:rsid w:val="002107C4"/>
    <w:rsid w:val="00224292"/>
    <w:rsid w:val="002311A5"/>
    <w:rsid w:val="00242A88"/>
    <w:rsid w:val="0025277A"/>
    <w:rsid w:val="0026268E"/>
    <w:rsid w:val="0026585E"/>
    <w:rsid w:val="00271A4A"/>
    <w:rsid w:val="00272E15"/>
    <w:rsid w:val="002731C6"/>
    <w:rsid w:val="00274D8F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1439"/>
    <w:rsid w:val="00316BB5"/>
    <w:rsid w:val="00320CB5"/>
    <w:rsid w:val="00326651"/>
    <w:rsid w:val="00356EFD"/>
    <w:rsid w:val="003577C3"/>
    <w:rsid w:val="003637DF"/>
    <w:rsid w:val="00366754"/>
    <w:rsid w:val="003703BF"/>
    <w:rsid w:val="003843B2"/>
    <w:rsid w:val="0038498D"/>
    <w:rsid w:val="0038516B"/>
    <w:rsid w:val="003B503C"/>
    <w:rsid w:val="003B69EA"/>
    <w:rsid w:val="003C0CBC"/>
    <w:rsid w:val="003D05A2"/>
    <w:rsid w:val="003D48E1"/>
    <w:rsid w:val="003E2B22"/>
    <w:rsid w:val="003E59CF"/>
    <w:rsid w:val="003F2407"/>
    <w:rsid w:val="003F3ED8"/>
    <w:rsid w:val="003F422C"/>
    <w:rsid w:val="003F78F8"/>
    <w:rsid w:val="004062D8"/>
    <w:rsid w:val="0040790D"/>
    <w:rsid w:val="0042069D"/>
    <w:rsid w:val="00430140"/>
    <w:rsid w:val="00432385"/>
    <w:rsid w:val="004361B9"/>
    <w:rsid w:val="004436F1"/>
    <w:rsid w:val="00444E10"/>
    <w:rsid w:val="00451350"/>
    <w:rsid w:val="004554FC"/>
    <w:rsid w:val="004566D9"/>
    <w:rsid w:val="00466F01"/>
    <w:rsid w:val="00497A80"/>
    <w:rsid w:val="004A33E8"/>
    <w:rsid w:val="004A41E9"/>
    <w:rsid w:val="004A539E"/>
    <w:rsid w:val="004A64D6"/>
    <w:rsid w:val="004B277C"/>
    <w:rsid w:val="004B3FE9"/>
    <w:rsid w:val="004C1B51"/>
    <w:rsid w:val="004C297B"/>
    <w:rsid w:val="004C5252"/>
    <w:rsid w:val="004F3E6E"/>
    <w:rsid w:val="00501308"/>
    <w:rsid w:val="005049D8"/>
    <w:rsid w:val="00507863"/>
    <w:rsid w:val="00516AE9"/>
    <w:rsid w:val="005205C6"/>
    <w:rsid w:val="00526578"/>
    <w:rsid w:val="005374D3"/>
    <w:rsid w:val="00562782"/>
    <w:rsid w:val="0057185D"/>
    <w:rsid w:val="00574A15"/>
    <w:rsid w:val="00590557"/>
    <w:rsid w:val="005917D3"/>
    <w:rsid w:val="00592F02"/>
    <w:rsid w:val="00597F91"/>
    <w:rsid w:val="005A2784"/>
    <w:rsid w:val="005A5DD7"/>
    <w:rsid w:val="005B6E05"/>
    <w:rsid w:val="005C1E8D"/>
    <w:rsid w:val="005C269F"/>
    <w:rsid w:val="005C54B7"/>
    <w:rsid w:val="005D50AF"/>
    <w:rsid w:val="005E36E1"/>
    <w:rsid w:val="005E3788"/>
    <w:rsid w:val="005F19E0"/>
    <w:rsid w:val="0060056F"/>
    <w:rsid w:val="00603BCC"/>
    <w:rsid w:val="0060673F"/>
    <w:rsid w:val="006068C2"/>
    <w:rsid w:val="00607CF1"/>
    <w:rsid w:val="00621F53"/>
    <w:rsid w:val="00647345"/>
    <w:rsid w:val="00647B23"/>
    <w:rsid w:val="00652EED"/>
    <w:rsid w:val="00653844"/>
    <w:rsid w:val="006550D7"/>
    <w:rsid w:val="00657672"/>
    <w:rsid w:val="00660D68"/>
    <w:rsid w:val="00665265"/>
    <w:rsid w:val="00680FF3"/>
    <w:rsid w:val="00686579"/>
    <w:rsid w:val="00687532"/>
    <w:rsid w:val="00687F6B"/>
    <w:rsid w:val="006A71B2"/>
    <w:rsid w:val="006D0430"/>
    <w:rsid w:val="006E0367"/>
    <w:rsid w:val="006E09AB"/>
    <w:rsid w:val="006E0F66"/>
    <w:rsid w:val="006F14B5"/>
    <w:rsid w:val="006F6022"/>
    <w:rsid w:val="00701439"/>
    <w:rsid w:val="00721881"/>
    <w:rsid w:val="007248B8"/>
    <w:rsid w:val="007303A4"/>
    <w:rsid w:val="00740BC9"/>
    <w:rsid w:val="007418A1"/>
    <w:rsid w:val="00743B93"/>
    <w:rsid w:val="00745B0C"/>
    <w:rsid w:val="00754769"/>
    <w:rsid w:val="00754DF7"/>
    <w:rsid w:val="00755E31"/>
    <w:rsid w:val="00765170"/>
    <w:rsid w:val="00772B9D"/>
    <w:rsid w:val="00774AB5"/>
    <w:rsid w:val="007B24F0"/>
    <w:rsid w:val="007C1F68"/>
    <w:rsid w:val="007C4A67"/>
    <w:rsid w:val="007D320E"/>
    <w:rsid w:val="007D489E"/>
    <w:rsid w:val="007D5E3B"/>
    <w:rsid w:val="007E3E27"/>
    <w:rsid w:val="007F0B26"/>
    <w:rsid w:val="007F4503"/>
    <w:rsid w:val="00802513"/>
    <w:rsid w:val="00805265"/>
    <w:rsid w:val="00823511"/>
    <w:rsid w:val="008635D6"/>
    <w:rsid w:val="00866C7F"/>
    <w:rsid w:val="00875302"/>
    <w:rsid w:val="008832B1"/>
    <w:rsid w:val="00883B26"/>
    <w:rsid w:val="008842EC"/>
    <w:rsid w:val="008843A5"/>
    <w:rsid w:val="008931ED"/>
    <w:rsid w:val="00895B3F"/>
    <w:rsid w:val="008A3FC7"/>
    <w:rsid w:val="008B15FC"/>
    <w:rsid w:val="008B28E4"/>
    <w:rsid w:val="008B621F"/>
    <w:rsid w:val="008C402D"/>
    <w:rsid w:val="008C606C"/>
    <w:rsid w:val="008D6497"/>
    <w:rsid w:val="008E77C6"/>
    <w:rsid w:val="008F0166"/>
    <w:rsid w:val="008F4E6E"/>
    <w:rsid w:val="00903418"/>
    <w:rsid w:val="00905B7B"/>
    <w:rsid w:val="00913CEB"/>
    <w:rsid w:val="0091585C"/>
    <w:rsid w:val="009159BE"/>
    <w:rsid w:val="009207F6"/>
    <w:rsid w:val="0093148E"/>
    <w:rsid w:val="009428AE"/>
    <w:rsid w:val="009435D7"/>
    <w:rsid w:val="009528D6"/>
    <w:rsid w:val="0095484F"/>
    <w:rsid w:val="00967A3A"/>
    <w:rsid w:val="009874A5"/>
    <w:rsid w:val="00997FAB"/>
    <w:rsid w:val="009A6876"/>
    <w:rsid w:val="009B6600"/>
    <w:rsid w:val="009C1E92"/>
    <w:rsid w:val="009C56D6"/>
    <w:rsid w:val="009C60BB"/>
    <w:rsid w:val="009D0B7C"/>
    <w:rsid w:val="009E38E0"/>
    <w:rsid w:val="009E7F7A"/>
    <w:rsid w:val="00A041D8"/>
    <w:rsid w:val="00A062C7"/>
    <w:rsid w:val="00A1309E"/>
    <w:rsid w:val="00A1766E"/>
    <w:rsid w:val="00A225E9"/>
    <w:rsid w:val="00A24222"/>
    <w:rsid w:val="00A316E6"/>
    <w:rsid w:val="00A52EAE"/>
    <w:rsid w:val="00A72530"/>
    <w:rsid w:val="00AA1094"/>
    <w:rsid w:val="00AA2145"/>
    <w:rsid w:val="00AA7C29"/>
    <w:rsid w:val="00AB72E4"/>
    <w:rsid w:val="00AE2411"/>
    <w:rsid w:val="00AF4AF6"/>
    <w:rsid w:val="00B0507E"/>
    <w:rsid w:val="00B10F50"/>
    <w:rsid w:val="00B14A83"/>
    <w:rsid w:val="00B23B2D"/>
    <w:rsid w:val="00B333EA"/>
    <w:rsid w:val="00B51745"/>
    <w:rsid w:val="00B70A3E"/>
    <w:rsid w:val="00B72054"/>
    <w:rsid w:val="00B7235B"/>
    <w:rsid w:val="00B74D63"/>
    <w:rsid w:val="00B74D79"/>
    <w:rsid w:val="00B7661F"/>
    <w:rsid w:val="00B83AB7"/>
    <w:rsid w:val="00B86788"/>
    <w:rsid w:val="00B870C5"/>
    <w:rsid w:val="00B87149"/>
    <w:rsid w:val="00B91884"/>
    <w:rsid w:val="00BD28B3"/>
    <w:rsid w:val="00BE5C4E"/>
    <w:rsid w:val="00BE6169"/>
    <w:rsid w:val="00BF3BEF"/>
    <w:rsid w:val="00C12D9E"/>
    <w:rsid w:val="00C15B1D"/>
    <w:rsid w:val="00C21035"/>
    <w:rsid w:val="00C2687C"/>
    <w:rsid w:val="00C730A0"/>
    <w:rsid w:val="00C77165"/>
    <w:rsid w:val="00C804DE"/>
    <w:rsid w:val="00C83BF2"/>
    <w:rsid w:val="00C93DB8"/>
    <w:rsid w:val="00C94FB9"/>
    <w:rsid w:val="00CA385E"/>
    <w:rsid w:val="00CA4725"/>
    <w:rsid w:val="00CA4ED4"/>
    <w:rsid w:val="00CA7EFF"/>
    <w:rsid w:val="00CB0885"/>
    <w:rsid w:val="00CC2513"/>
    <w:rsid w:val="00CC4339"/>
    <w:rsid w:val="00CC5766"/>
    <w:rsid w:val="00CC6D12"/>
    <w:rsid w:val="00CC7BAE"/>
    <w:rsid w:val="00CD043C"/>
    <w:rsid w:val="00CD7CDC"/>
    <w:rsid w:val="00CE28E1"/>
    <w:rsid w:val="00CE3D0C"/>
    <w:rsid w:val="00CE5B87"/>
    <w:rsid w:val="00D03510"/>
    <w:rsid w:val="00D04A16"/>
    <w:rsid w:val="00D22E3A"/>
    <w:rsid w:val="00D25C85"/>
    <w:rsid w:val="00D303C5"/>
    <w:rsid w:val="00D37A7D"/>
    <w:rsid w:val="00D4086B"/>
    <w:rsid w:val="00D501EA"/>
    <w:rsid w:val="00D70FF2"/>
    <w:rsid w:val="00DA4331"/>
    <w:rsid w:val="00DA62C2"/>
    <w:rsid w:val="00DC02BF"/>
    <w:rsid w:val="00DC0F76"/>
    <w:rsid w:val="00DC1560"/>
    <w:rsid w:val="00DD1B70"/>
    <w:rsid w:val="00DD3FF6"/>
    <w:rsid w:val="00DD48C9"/>
    <w:rsid w:val="00DD6317"/>
    <w:rsid w:val="00DE1BA0"/>
    <w:rsid w:val="00DF5F15"/>
    <w:rsid w:val="00DF78C2"/>
    <w:rsid w:val="00E01AE2"/>
    <w:rsid w:val="00E027CF"/>
    <w:rsid w:val="00E05B3A"/>
    <w:rsid w:val="00E07793"/>
    <w:rsid w:val="00E07BC3"/>
    <w:rsid w:val="00E169A2"/>
    <w:rsid w:val="00E2086F"/>
    <w:rsid w:val="00E25763"/>
    <w:rsid w:val="00E353A4"/>
    <w:rsid w:val="00E35F92"/>
    <w:rsid w:val="00E41BB1"/>
    <w:rsid w:val="00E459E1"/>
    <w:rsid w:val="00E50E15"/>
    <w:rsid w:val="00E8267A"/>
    <w:rsid w:val="00E87C75"/>
    <w:rsid w:val="00E94F86"/>
    <w:rsid w:val="00E963D1"/>
    <w:rsid w:val="00EA1C3E"/>
    <w:rsid w:val="00EA2769"/>
    <w:rsid w:val="00EA55F6"/>
    <w:rsid w:val="00EC1DEC"/>
    <w:rsid w:val="00ED112B"/>
    <w:rsid w:val="00ED49B0"/>
    <w:rsid w:val="00EE7952"/>
    <w:rsid w:val="00EF67A7"/>
    <w:rsid w:val="00EF7A3F"/>
    <w:rsid w:val="00F0088A"/>
    <w:rsid w:val="00F011CE"/>
    <w:rsid w:val="00F23C82"/>
    <w:rsid w:val="00F42400"/>
    <w:rsid w:val="00F453D7"/>
    <w:rsid w:val="00F4755A"/>
    <w:rsid w:val="00F54847"/>
    <w:rsid w:val="00F671EA"/>
    <w:rsid w:val="00F74C8E"/>
    <w:rsid w:val="00F75D54"/>
    <w:rsid w:val="00F80C36"/>
    <w:rsid w:val="00F95A42"/>
    <w:rsid w:val="00FB44A7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qFormat/>
    <w:rsid w:val="001656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utin.pavlov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CC67-58A5-48AE-B9CE-0F7E59B2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385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5605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83</cp:revision>
  <cp:lastPrinted>2022-12-26T10:59:00Z</cp:lastPrinted>
  <dcterms:created xsi:type="dcterms:W3CDTF">2017-03-13T11:31:00Z</dcterms:created>
  <dcterms:modified xsi:type="dcterms:W3CDTF">2022-12-26T11:03:00Z</dcterms:modified>
</cp:coreProperties>
</file>