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22.05.2024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1873/1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 i 92/2023), naručilac donosi, Odluku o dodeli Ugovora o javnoj nabavci ponuđaču koji je podneo ispravnu i ekonomski najpovoljniju ponudu i na osnovu  člana 146. stav 2. Zakona o javnim nabavkama.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1873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 usluge- Tekuće održavanje svih objekata Centra za zaštitu odojčadi, dece i omladine.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F02-0016825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50800000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 usluge- Tekuće održavanje svih objekata Centra za zaštitu odojčadi, dece i omladine.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4.041.666,67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SAMOSTLANA GRAĐEVINSKA RADNJA EXPERT GORDANA SAVIĆ PR KALUĐERICA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105585827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Makedonska,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KALUĐERICA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1.948.691,44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2.338.429,73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 usluge- Tekuće održavanje svih objekata Centra za zaštitu odojčadi, dece i omladine.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1873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1873, 29.04.2024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4.041.666,67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50800000-Razne usluge popravke i održavanja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F02-0016825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10.05.2024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 usluge- Tekuće održavanje svih objekata Centra za zaštitu odojčadi, dece i omladine.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10.05.2024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10.05.2024 12:07:09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SAMOSTLANA GRAĐEVINSKA RADNJA EXPERT GORDANA SAVIĆ PR KALUĐERICA, Makedonska, 12, 11130, KALUĐERICA,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3-05/24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8.5.2024. 13:44:39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SAMOSTLANA GRAĐEVINSKA RADNJA EXPERT GORDANA SAVIĆ PR KALUĐERICA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1948691.44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2338429.73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SAMOSTLANA GRAĐEVINSKA RADNJA EXPERT GORDANA SAVIĆ PR KALUĐERICA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1948691.44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2338429.73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SAMOSTLANA GRAĐEVINSKA RADNJA EXPERT GORDANA SAVIĆ PR KALUĐERICA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1.948.691,44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2.338.429,73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SAMOSTLANA GRAĐEVINSKA RADNJA EXPERT GORDANA SAVIĆ PR KALUĐERICA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1.948.691,44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dao ponudu koja je ispravna 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sz w:val="20"/>
          <w:szCs w:val="20"/>
        </w:rPr>
        <w:t>Ponuđač je jedini dao ponudu koja je ispravna i prihvatljiva.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19BFD4A5" w14:textId="77777777" w:rsidTr="006E13B1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6E13B1" w:rsidRPr="00F61EC9" w:rsidP="006E13B1" w14:paraId="35A89C06" w14:textId="7A8528B3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6E13B1" w:rsidRPr="006E13B1" w:rsidP="006E13B1" w14:paraId="196D8624" w14:textId="1E8B9B8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5" w:name="2_0"/>
            <w:bookmarkEnd w:id="35"/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 i 92/2023)</w:t>
            </w:r>
          </w:p>
        </w:tc>
      </w:tr>
    </w:tbl>
    <w:p w:rsidR="006E13B1" w:rsidP="008C5725" w14:paraId="02195C9E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19FB1DB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0C4A8F4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33"/>
    </w:p>
    <w:sectPr w:rsidSect="00C933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